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780D1C3">
      <w:pPr>
        <w:spacing w:line="360" w:lineRule="auto"/>
        <w:jc w:val="center"/>
        <w:rPr>
          <w:rFonts w:ascii="宋体"/>
          <w:b/>
          <w:bCs/>
          <w:sz w:val="44"/>
          <w:szCs w:val="44"/>
        </w:rPr>
      </w:pPr>
    </w:p>
    <w:p w14:paraId="02FA4BA1">
      <w:pPr>
        <w:spacing w:line="360" w:lineRule="auto"/>
        <w:jc w:val="center"/>
        <w:rPr>
          <w:rFonts w:ascii="宋体"/>
          <w:b/>
          <w:bCs/>
          <w:sz w:val="44"/>
          <w:szCs w:val="44"/>
        </w:rPr>
      </w:pPr>
    </w:p>
    <w:p w14:paraId="44DEB494">
      <w:pPr>
        <w:spacing w:line="360" w:lineRule="auto"/>
        <w:jc w:val="center"/>
        <w:rPr>
          <w:rFonts w:ascii="宋体"/>
          <w:b/>
          <w:bCs/>
          <w:sz w:val="44"/>
          <w:szCs w:val="44"/>
        </w:rPr>
      </w:pPr>
    </w:p>
    <w:p w14:paraId="7D89F66F">
      <w:pPr>
        <w:spacing w:line="360" w:lineRule="auto"/>
        <w:jc w:val="center"/>
        <w:rPr>
          <w:rFonts w:ascii="宋体"/>
          <w:b/>
          <w:bCs/>
          <w:sz w:val="44"/>
          <w:szCs w:val="44"/>
        </w:rPr>
      </w:pPr>
    </w:p>
    <w:p w14:paraId="73F48ADC">
      <w:pPr>
        <w:spacing w:line="360" w:lineRule="auto"/>
        <w:jc w:val="center"/>
        <w:rPr>
          <w:rFonts w:ascii="宋体"/>
          <w:b/>
          <w:bCs/>
          <w:color w:val="000000"/>
          <w:sz w:val="36"/>
          <w:szCs w:val="36"/>
          <w:u w:val="single"/>
        </w:rPr>
      </w:pPr>
      <w:r>
        <w:rPr>
          <w:rFonts w:hint="eastAsia" w:ascii="宋体" w:hAnsi="宋体"/>
          <w:b/>
          <w:bCs/>
          <w:color w:val="000000"/>
          <w:sz w:val="36"/>
          <w:szCs w:val="36"/>
          <w:u w:val="single"/>
        </w:rPr>
        <w:t>重庆应用技术职业学院</w:t>
      </w:r>
    </w:p>
    <w:p w14:paraId="2588DB13">
      <w:pPr>
        <w:spacing w:line="360" w:lineRule="auto"/>
        <w:jc w:val="center"/>
        <w:rPr>
          <w:rFonts w:hint="eastAsia"/>
          <w:b/>
          <w:sz w:val="36"/>
          <w:szCs w:val="36"/>
          <w:lang w:val="en-US" w:eastAsia="zh-CN"/>
        </w:rPr>
      </w:pPr>
      <w:r>
        <w:rPr>
          <w:rFonts w:hint="eastAsia"/>
          <w:b/>
          <w:sz w:val="36"/>
          <w:szCs w:val="36"/>
          <w:lang w:val="en-US" w:eastAsia="zh-CN"/>
        </w:rPr>
        <w:t>模块化数据中心机房UPS扩容项目</w:t>
      </w:r>
    </w:p>
    <w:p w14:paraId="14A838CC">
      <w:pPr>
        <w:spacing w:line="360" w:lineRule="auto"/>
        <w:jc w:val="center"/>
        <w:rPr>
          <w:rFonts w:ascii="宋体"/>
          <w:b/>
          <w:bCs/>
          <w:sz w:val="36"/>
          <w:szCs w:val="36"/>
        </w:rPr>
      </w:pPr>
      <w:r>
        <w:rPr>
          <w:rFonts w:hint="eastAsia"/>
          <w:b/>
          <w:sz w:val="36"/>
          <w:szCs w:val="36"/>
        </w:rPr>
        <w:t>竞争性谈判文件</w:t>
      </w:r>
    </w:p>
    <w:p w14:paraId="33AB8900">
      <w:pPr>
        <w:spacing w:line="360" w:lineRule="auto"/>
        <w:jc w:val="center"/>
        <w:rPr>
          <w:rFonts w:ascii="华文仿宋" w:hAnsi="华文仿宋" w:eastAsia="华文仿宋"/>
          <w:b/>
          <w:color w:val="FF0000"/>
          <w:sz w:val="32"/>
          <w:szCs w:val="32"/>
        </w:rPr>
      </w:pPr>
    </w:p>
    <w:p w14:paraId="51C00BFB">
      <w:pPr>
        <w:spacing w:line="360" w:lineRule="auto"/>
        <w:ind w:left="481" w:leftChars="229" w:firstLine="72" w:firstLineChars="20"/>
        <w:jc w:val="center"/>
        <w:rPr>
          <w:rFonts w:ascii="宋体"/>
          <w:b/>
          <w:spacing w:val="20"/>
          <w:sz w:val="32"/>
          <w:szCs w:val="32"/>
        </w:rPr>
      </w:pPr>
    </w:p>
    <w:p w14:paraId="12EA57DC">
      <w:pPr>
        <w:spacing w:line="360" w:lineRule="auto"/>
        <w:ind w:left="481" w:leftChars="229" w:firstLine="72" w:firstLineChars="20"/>
        <w:jc w:val="center"/>
        <w:rPr>
          <w:rFonts w:ascii="宋体"/>
          <w:b/>
          <w:spacing w:val="20"/>
          <w:sz w:val="32"/>
          <w:szCs w:val="32"/>
        </w:rPr>
      </w:pPr>
    </w:p>
    <w:p w14:paraId="6B99A8F1">
      <w:pPr>
        <w:spacing w:line="360" w:lineRule="auto"/>
        <w:ind w:left="481" w:leftChars="229" w:firstLine="72" w:firstLineChars="20"/>
        <w:jc w:val="center"/>
        <w:rPr>
          <w:rFonts w:ascii="宋体"/>
          <w:b/>
          <w:spacing w:val="20"/>
          <w:sz w:val="32"/>
          <w:szCs w:val="32"/>
        </w:rPr>
      </w:pPr>
    </w:p>
    <w:p w14:paraId="1FE28FB2">
      <w:pPr>
        <w:spacing w:line="360" w:lineRule="auto"/>
        <w:ind w:left="481" w:leftChars="229" w:firstLine="72" w:firstLineChars="20"/>
        <w:jc w:val="center"/>
        <w:rPr>
          <w:rFonts w:ascii="宋体"/>
          <w:b/>
          <w:spacing w:val="20"/>
          <w:sz w:val="32"/>
          <w:szCs w:val="32"/>
        </w:rPr>
      </w:pPr>
    </w:p>
    <w:p w14:paraId="32AEBD0E">
      <w:pPr>
        <w:spacing w:line="360" w:lineRule="auto"/>
        <w:ind w:left="481" w:leftChars="229" w:firstLine="72" w:firstLineChars="20"/>
        <w:jc w:val="center"/>
        <w:rPr>
          <w:rFonts w:ascii="宋体"/>
          <w:b/>
          <w:spacing w:val="20"/>
          <w:sz w:val="32"/>
          <w:szCs w:val="32"/>
        </w:rPr>
      </w:pPr>
    </w:p>
    <w:p w14:paraId="4A548A19">
      <w:pPr>
        <w:spacing w:line="360" w:lineRule="auto"/>
        <w:ind w:left="481" w:leftChars="229" w:firstLine="72" w:firstLineChars="20"/>
        <w:jc w:val="center"/>
        <w:rPr>
          <w:rFonts w:ascii="宋体"/>
          <w:b/>
          <w:spacing w:val="20"/>
          <w:sz w:val="32"/>
          <w:szCs w:val="32"/>
        </w:rPr>
      </w:pPr>
    </w:p>
    <w:p w14:paraId="34489DA7">
      <w:pPr>
        <w:spacing w:line="360" w:lineRule="auto"/>
        <w:ind w:left="481" w:leftChars="229" w:firstLine="72" w:firstLineChars="20"/>
        <w:jc w:val="center"/>
        <w:rPr>
          <w:rFonts w:ascii="宋体"/>
          <w:b/>
          <w:spacing w:val="20"/>
          <w:sz w:val="32"/>
          <w:szCs w:val="32"/>
        </w:rPr>
      </w:pPr>
    </w:p>
    <w:p w14:paraId="4714E94F">
      <w:pPr>
        <w:spacing w:line="360" w:lineRule="auto"/>
        <w:ind w:left="481" w:leftChars="229" w:firstLine="72" w:firstLineChars="20"/>
        <w:jc w:val="center"/>
        <w:rPr>
          <w:rFonts w:ascii="宋体"/>
          <w:b/>
          <w:spacing w:val="20"/>
          <w:sz w:val="32"/>
          <w:szCs w:val="32"/>
        </w:rPr>
      </w:pPr>
    </w:p>
    <w:p w14:paraId="72150066">
      <w:pPr>
        <w:spacing w:line="360" w:lineRule="auto"/>
        <w:ind w:left="481" w:leftChars="229" w:firstLine="72" w:firstLineChars="20"/>
        <w:jc w:val="center"/>
        <w:rPr>
          <w:rFonts w:ascii="宋体"/>
          <w:b/>
          <w:spacing w:val="20"/>
          <w:sz w:val="32"/>
          <w:szCs w:val="32"/>
        </w:rPr>
      </w:pPr>
    </w:p>
    <w:p w14:paraId="760B0374">
      <w:pPr>
        <w:spacing w:line="360" w:lineRule="auto"/>
        <w:rPr>
          <w:rFonts w:ascii="宋体"/>
          <w:b/>
          <w:spacing w:val="20"/>
          <w:sz w:val="32"/>
          <w:szCs w:val="32"/>
        </w:rPr>
      </w:pPr>
    </w:p>
    <w:p w14:paraId="56E45563">
      <w:pPr>
        <w:spacing w:line="360" w:lineRule="auto"/>
        <w:ind w:left="481" w:leftChars="229" w:firstLine="72" w:firstLineChars="20"/>
        <w:jc w:val="center"/>
        <w:rPr>
          <w:rFonts w:ascii="宋体"/>
          <w:b/>
          <w:spacing w:val="20"/>
          <w:sz w:val="32"/>
          <w:szCs w:val="32"/>
        </w:rPr>
      </w:pPr>
    </w:p>
    <w:p w14:paraId="01BF066A">
      <w:pPr>
        <w:spacing w:line="360" w:lineRule="auto"/>
        <w:ind w:left="481" w:leftChars="229" w:firstLine="72" w:firstLineChars="20"/>
        <w:jc w:val="center"/>
        <w:rPr>
          <w:rFonts w:ascii="宋体"/>
          <w:b/>
          <w:color w:val="000000"/>
          <w:spacing w:val="20"/>
          <w:sz w:val="32"/>
          <w:szCs w:val="32"/>
        </w:rPr>
      </w:pPr>
      <w:r>
        <w:rPr>
          <w:rFonts w:hint="eastAsia" w:ascii="宋体" w:hAnsi="宋体"/>
          <w:b/>
          <w:color w:val="000000"/>
          <w:spacing w:val="20"/>
          <w:sz w:val="32"/>
          <w:szCs w:val="32"/>
          <w:u w:val="single"/>
        </w:rPr>
        <w:t>重庆应用技术职业学院</w:t>
      </w:r>
      <w:r>
        <w:rPr>
          <w:rFonts w:hint="eastAsia" w:ascii="宋体" w:hAnsi="宋体"/>
          <w:b/>
          <w:color w:val="000000"/>
          <w:spacing w:val="20"/>
          <w:sz w:val="32"/>
          <w:szCs w:val="32"/>
        </w:rPr>
        <w:t>制</w:t>
      </w:r>
    </w:p>
    <w:p w14:paraId="6E4E8E40">
      <w:pPr>
        <w:spacing w:line="360" w:lineRule="auto"/>
        <w:jc w:val="center"/>
        <w:rPr>
          <w:sz w:val="28"/>
          <w:szCs w:val="28"/>
        </w:rPr>
      </w:pPr>
      <w:r>
        <w:rPr>
          <w:rFonts w:ascii="宋体" w:hAnsi="宋体"/>
          <w:b/>
          <w:sz w:val="32"/>
          <w:szCs w:val="32"/>
        </w:rPr>
        <w:t xml:space="preserve"> </w:t>
      </w:r>
      <w:r>
        <w:rPr>
          <w:sz w:val="28"/>
          <w:szCs w:val="28"/>
        </w:rPr>
        <w:t xml:space="preserve">   202</w:t>
      </w:r>
      <w:r>
        <w:rPr>
          <w:rFonts w:hint="eastAsia"/>
          <w:sz w:val="28"/>
          <w:szCs w:val="28"/>
          <w:lang w:val="en-US" w:eastAsia="zh-CN"/>
        </w:rPr>
        <w:t>5</w:t>
      </w:r>
      <w:r>
        <w:rPr>
          <w:rFonts w:hint="eastAsia"/>
          <w:sz w:val="28"/>
          <w:szCs w:val="28"/>
        </w:rPr>
        <w:t>年</w:t>
      </w:r>
      <w:r>
        <w:rPr>
          <w:rFonts w:hint="eastAsia"/>
          <w:sz w:val="28"/>
          <w:szCs w:val="28"/>
          <w:lang w:val="en-US" w:eastAsia="zh-CN"/>
        </w:rPr>
        <w:t>8</w:t>
      </w:r>
      <w:r>
        <w:rPr>
          <w:rFonts w:hint="eastAsia"/>
          <w:sz w:val="28"/>
          <w:szCs w:val="28"/>
        </w:rPr>
        <w:t>月</w:t>
      </w:r>
      <w:r>
        <w:rPr>
          <w:rFonts w:hint="eastAsia"/>
          <w:sz w:val="28"/>
          <w:szCs w:val="28"/>
          <w:lang w:val="en-US" w:eastAsia="zh-CN"/>
        </w:rPr>
        <w:t>31</w:t>
      </w:r>
      <w:bookmarkStart w:id="1" w:name="_GoBack"/>
      <w:bookmarkEnd w:id="1"/>
      <w:r>
        <w:rPr>
          <w:rFonts w:hint="eastAsia"/>
          <w:sz w:val="28"/>
          <w:szCs w:val="28"/>
        </w:rPr>
        <w:t>日</w:t>
      </w:r>
    </w:p>
    <w:p w14:paraId="3FB5F22A">
      <w:pPr>
        <w:spacing w:line="360" w:lineRule="auto"/>
        <w:jc w:val="center"/>
        <w:rPr>
          <w:rFonts w:ascii="宋体"/>
          <w:b/>
          <w:sz w:val="28"/>
          <w:szCs w:val="28"/>
        </w:rPr>
      </w:pPr>
    </w:p>
    <w:p w14:paraId="3A8B00B7">
      <w:pPr>
        <w:spacing w:line="360" w:lineRule="auto"/>
        <w:jc w:val="center"/>
        <w:rPr>
          <w:rFonts w:ascii="宋体"/>
          <w:b/>
          <w:sz w:val="28"/>
          <w:szCs w:val="28"/>
        </w:rPr>
      </w:pPr>
    </w:p>
    <w:p w14:paraId="5A1F3075">
      <w:pPr>
        <w:spacing w:line="360" w:lineRule="auto"/>
        <w:jc w:val="center"/>
        <w:rPr>
          <w:rFonts w:ascii="宋体"/>
          <w:b/>
          <w:sz w:val="28"/>
          <w:szCs w:val="28"/>
        </w:rPr>
      </w:pPr>
    </w:p>
    <w:p w14:paraId="0FC122CE">
      <w:pPr>
        <w:spacing w:line="360" w:lineRule="auto"/>
        <w:jc w:val="center"/>
        <w:rPr>
          <w:rFonts w:ascii="宋体"/>
          <w:b/>
          <w:bCs/>
          <w:sz w:val="32"/>
          <w:szCs w:val="32"/>
        </w:rPr>
      </w:pPr>
      <w:r>
        <w:rPr>
          <w:rFonts w:hint="eastAsia" w:ascii="宋体" w:hAnsi="宋体"/>
          <w:b/>
          <w:bCs/>
          <w:sz w:val="32"/>
          <w:szCs w:val="32"/>
        </w:rPr>
        <w:t>第一部分</w:t>
      </w:r>
      <w:r>
        <w:rPr>
          <w:rFonts w:ascii="宋体" w:hAnsi="宋体"/>
          <w:b/>
          <w:bCs/>
          <w:sz w:val="32"/>
          <w:szCs w:val="32"/>
        </w:rPr>
        <w:t xml:space="preserve"> </w:t>
      </w:r>
      <w:r>
        <w:rPr>
          <w:rFonts w:hint="eastAsia" w:ascii="宋体" w:hAnsi="宋体"/>
          <w:b/>
          <w:bCs/>
          <w:sz w:val="32"/>
          <w:szCs w:val="32"/>
        </w:rPr>
        <w:t>谈判项目书</w:t>
      </w:r>
    </w:p>
    <w:p w14:paraId="73E3EC8C">
      <w:pPr>
        <w:spacing w:line="360" w:lineRule="auto"/>
        <w:rPr>
          <w:rFonts w:ascii="宋体"/>
          <w:b/>
          <w:bCs/>
          <w:sz w:val="28"/>
          <w:szCs w:val="28"/>
        </w:rPr>
      </w:pPr>
    </w:p>
    <w:p w14:paraId="19E2F514">
      <w:pPr>
        <w:spacing w:line="360" w:lineRule="auto"/>
        <w:ind w:firstLine="562" w:firstLineChars="200"/>
        <w:rPr>
          <w:rFonts w:ascii="宋体"/>
          <w:b/>
          <w:bCs/>
          <w:sz w:val="28"/>
          <w:szCs w:val="28"/>
        </w:rPr>
      </w:pPr>
      <w:r>
        <w:rPr>
          <w:rFonts w:hint="eastAsia" w:ascii="宋体" w:hAnsi="宋体"/>
          <w:b/>
          <w:bCs/>
          <w:sz w:val="28"/>
          <w:szCs w:val="28"/>
        </w:rPr>
        <w:t>项目名称及编号：</w:t>
      </w:r>
    </w:p>
    <w:p w14:paraId="6C06B1B8">
      <w:pPr>
        <w:spacing w:line="360" w:lineRule="auto"/>
        <w:ind w:firstLine="560" w:firstLineChars="200"/>
        <w:jc w:val="left"/>
        <w:rPr>
          <w:rFonts w:hint="default" w:ascii="宋体" w:eastAsia="宋体"/>
          <w:b w:val="0"/>
          <w:bCs w:val="0"/>
          <w:sz w:val="28"/>
          <w:szCs w:val="28"/>
          <w:lang w:val="en-US" w:eastAsia="zh-CN"/>
        </w:rPr>
      </w:pPr>
      <w:r>
        <w:rPr>
          <w:rFonts w:hint="eastAsia"/>
          <w:sz w:val="28"/>
          <w:szCs w:val="28"/>
          <w:lang w:val="en-US" w:eastAsia="zh-CN"/>
        </w:rPr>
        <w:t>模块化数据中心机房UPS扩容项目</w:t>
      </w:r>
      <w:r>
        <w:rPr>
          <w:rFonts w:hint="eastAsia"/>
          <w:sz w:val="28"/>
          <w:szCs w:val="28"/>
        </w:rPr>
        <w:t xml:space="preserve">  </w:t>
      </w:r>
      <w:r>
        <w:rPr>
          <w:rFonts w:ascii="宋体" w:hAnsi="宋体"/>
          <w:b/>
          <w:bCs/>
          <w:sz w:val="28"/>
          <w:szCs w:val="28"/>
        </w:rPr>
        <w:t xml:space="preserve"> </w:t>
      </w:r>
      <w:r>
        <w:rPr>
          <w:rFonts w:hint="eastAsia" w:ascii="宋体" w:hAnsi="宋体"/>
          <w:b/>
          <w:bCs/>
          <w:sz w:val="28"/>
          <w:szCs w:val="28"/>
          <w:lang w:val="en-US" w:eastAsia="zh-CN"/>
        </w:rPr>
        <w:t xml:space="preserve">  </w:t>
      </w:r>
      <w:r>
        <w:rPr>
          <w:rFonts w:hint="eastAsia" w:ascii="宋体" w:hAnsi="宋体"/>
          <w:b w:val="0"/>
          <w:bCs w:val="0"/>
          <w:sz w:val="28"/>
          <w:szCs w:val="28"/>
          <w:lang w:val="en-US" w:eastAsia="zh-CN"/>
        </w:rPr>
        <w:t xml:space="preserve"> 2025-X006</w:t>
      </w:r>
    </w:p>
    <w:p w14:paraId="0C1A0DCB">
      <w:pPr>
        <w:ind w:left="565"/>
        <w:rPr>
          <w:rFonts w:ascii="宋体"/>
          <w:color w:val="auto"/>
          <w:sz w:val="28"/>
          <w:szCs w:val="28"/>
          <w:highlight w:val="none"/>
        </w:rPr>
      </w:pPr>
      <w:r>
        <w:rPr>
          <w:rFonts w:hint="eastAsia" w:ascii="宋体" w:hAnsi="宋体"/>
          <w:b/>
          <w:bCs/>
          <w:color w:val="auto"/>
          <w:sz w:val="28"/>
          <w:szCs w:val="28"/>
          <w:highlight w:val="none"/>
        </w:rPr>
        <w:t>二、资格要求：</w:t>
      </w:r>
    </w:p>
    <w:p w14:paraId="4A9BC288">
      <w:pPr>
        <w:adjustRightInd w:val="0"/>
        <w:snapToGrid w:val="0"/>
        <w:spacing w:line="360" w:lineRule="auto"/>
        <w:ind w:firstLine="560" w:firstLineChars="200"/>
        <w:rPr>
          <w:rFonts w:hint="eastAsia" w:asciiTheme="minorEastAsia" w:hAnsiTheme="minorEastAsia" w:eastAsiaTheme="minorEastAsia" w:cstheme="minorEastAsia"/>
          <w:color w:val="auto"/>
          <w:kern w:val="0"/>
          <w:sz w:val="32"/>
          <w:szCs w:val="32"/>
          <w:highlight w:val="none"/>
          <w:lang w:val="en-US" w:eastAsia="zh-CN" w:bidi="ar-SA"/>
        </w:rPr>
      </w:pPr>
      <w:r>
        <w:rPr>
          <w:rFonts w:hint="eastAsia" w:ascii="宋体" w:hAnsi="宋体"/>
          <w:color w:val="auto"/>
          <w:sz w:val="28"/>
          <w:szCs w:val="28"/>
          <w:highlight w:val="none"/>
          <w:lang w:val="en-US" w:eastAsia="zh-CN"/>
        </w:rPr>
        <w:t>1、须具有独立法人资格，具有独立承担民事责任的能力，具备合法有效的营业执照并通过年审。经营范围包含计算机软硬件、智能控制系统集成、配电开关控制设备销售、信息系统集成服务、安全系统监控服务、电子产品销售、网络设备销售。</w:t>
      </w:r>
    </w:p>
    <w:p w14:paraId="1AA3E6D7">
      <w:pPr>
        <w:adjustRightInd w:val="0"/>
        <w:snapToGri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2.在重庆地区拥有固定的经营场所或售后服务常驻机构。</w:t>
      </w:r>
    </w:p>
    <w:p w14:paraId="68D255A9">
      <w:pPr>
        <w:adjustRightInd w:val="0"/>
        <w:snapToGrid w:val="0"/>
        <w:spacing w:line="360" w:lineRule="auto"/>
        <w:ind w:firstLine="565" w:firstLineChars="202"/>
        <w:rPr>
          <w:rFonts w:ascii="宋体" w:hAnsi="宋体"/>
          <w:color w:val="auto"/>
          <w:sz w:val="28"/>
          <w:szCs w:val="28"/>
          <w:highlight w:val="none"/>
        </w:rPr>
      </w:pPr>
      <w:r>
        <w:rPr>
          <w:rFonts w:hint="eastAsia" w:ascii="宋体" w:hAnsi="宋体"/>
          <w:color w:val="auto"/>
          <w:sz w:val="28"/>
          <w:szCs w:val="28"/>
          <w:highlight w:val="none"/>
        </w:rPr>
        <w:t>3.具有良好的商业信誉、健全的财务会计制度和完善的售后服务体系。</w:t>
      </w:r>
    </w:p>
    <w:p w14:paraId="07498FEA">
      <w:pPr>
        <w:adjustRightInd w:val="0"/>
        <w:snapToGrid w:val="0"/>
        <w:spacing w:line="360" w:lineRule="auto"/>
        <w:ind w:firstLine="565" w:firstLineChars="202"/>
        <w:rPr>
          <w:rFonts w:ascii="宋体" w:hAnsi="宋体"/>
          <w:color w:val="auto"/>
          <w:sz w:val="28"/>
          <w:szCs w:val="28"/>
          <w:highlight w:val="none"/>
        </w:rPr>
      </w:pPr>
      <w:r>
        <w:rPr>
          <w:rFonts w:hint="eastAsia" w:ascii="宋体" w:hAnsi="宋体"/>
          <w:color w:val="auto"/>
          <w:sz w:val="28"/>
          <w:szCs w:val="28"/>
          <w:highlight w:val="none"/>
        </w:rPr>
        <w:t>4.确保能够提供符合要求的合格产品，有稳定、强有力的技术维护队伍，能够提供及时、良好的售后服务。</w:t>
      </w:r>
    </w:p>
    <w:p w14:paraId="5B1358F8">
      <w:pPr>
        <w:adjustRightInd w:val="0"/>
        <w:snapToGrid w:val="0"/>
        <w:spacing w:line="360" w:lineRule="auto"/>
        <w:ind w:firstLine="565" w:firstLineChars="202"/>
        <w:rPr>
          <w:rFonts w:hint="eastAsia" w:ascii="宋体" w:hAnsi="宋体"/>
          <w:color w:val="auto"/>
          <w:sz w:val="28"/>
          <w:szCs w:val="28"/>
          <w:highlight w:val="none"/>
        </w:rPr>
      </w:pPr>
      <w:r>
        <w:rPr>
          <w:rFonts w:hint="eastAsia" w:ascii="宋体" w:hAnsi="宋体"/>
          <w:color w:val="auto"/>
          <w:sz w:val="28"/>
          <w:szCs w:val="28"/>
          <w:highlight w:val="none"/>
        </w:rPr>
        <w:t>5. 近三年内无行政处罚及重大违法违规记录。</w:t>
      </w:r>
    </w:p>
    <w:p w14:paraId="62822C68">
      <w:pPr>
        <w:spacing w:line="360" w:lineRule="auto"/>
        <w:ind w:firstLine="565" w:firstLineChars="201"/>
        <w:rPr>
          <w:rFonts w:ascii="宋体"/>
          <w:b/>
          <w:bCs/>
          <w:sz w:val="28"/>
          <w:szCs w:val="28"/>
        </w:rPr>
      </w:pPr>
      <w:r>
        <w:rPr>
          <w:rFonts w:hint="eastAsia" w:ascii="宋体" w:hAnsi="宋体"/>
          <w:b/>
          <w:bCs/>
          <w:sz w:val="28"/>
          <w:szCs w:val="28"/>
        </w:rPr>
        <w:t>三、产品质量及服务要求：</w:t>
      </w:r>
    </w:p>
    <w:p w14:paraId="6C1768FF">
      <w:pPr>
        <w:ind w:firstLine="565" w:firstLineChars="202"/>
        <w:rPr>
          <w:sz w:val="28"/>
          <w:szCs w:val="28"/>
        </w:rPr>
      </w:pPr>
      <w:r>
        <w:rPr>
          <w:sz w:val="28"/>
          <w:szCs w:val="28"/>
        </w:rPr>
        <w:t>1.</w:t>
      </w:r>
      <w:r>
        <w:rPr>
          <w:rFonts w:hint="eastAsia"/>
          <w:sz w:val="28"/>
          <w:szCs w:val="28"/>
        </w:rPr>
        <w:t>所有产品必须符合国家相关法律法规要求。</w:t>
      </w:r>
    </w:p>
    <w:p w14:paraId="029182A9">
      <w:pPr>
        <w:ind w:firstLine="565" w:firstLineChars="202"/>
        <w:rPr>
          <w:sz w:val="28"/>
          <w:szCs w:val="28"/>
        </w:rPr>
      </w:pPr>
      <w:r>
        <w:rPr>
          <w:sz w:val="28"/>
          <w:szCs w:val="28"/>
        </w:rPr>
        <w:t>2.</w:t>
      </w:r>
      <w:r>
        <w:rPr>
          <w:rFonts w:hint="eastAsia"/>
          <w:sz w:val="28"/>
          <w:szCs w:val="28"/>
        </w:rPr>
        <w:t>保质期内发生的质量问题由供货商免费负责解决。</w:t>
      </w:r>
    </w:p>
    <w:p w14:paraId="3195A9D5">
      <w:pPr>
        <w:ind w:firstLine="565" w:firstLineChars="202"/>
        <w:rPr>
          <w:sz w:val="28"/>
          <w:szCs w:val="28"/>
        </w:rPr>
      </w:pPr>
      <w:r>
        <w:rPr>
          <w:sz w:val="28"/>
          <w:szCs w:val="28"/>
        </w:rPr>
        <w:t>3.</w:t>
      </w:r>
      <w:r>
        <w:rPr>
          <w:rFonts w:hint="eastAsia"/>
          <w:sz w:val="28"/>
          <w:szCs w:val="28"/>
        </w:rPr>
        <w:t>供应商须在竞谈书中单独提供一份切实可行的售后服务承诺书。</w:t>
      </w:r>
    </w:p>
    <w:p w14:paraId="37FAA8CC">
      <w:pPr>
        <w:ind w:firstLine="565" w:firstLineChars="202"/>
        <w:rPr>
          <w:sz w:val="28"/>
          <w:szCs w:val="28"/>
        </w:rPr>
      </w:pPr>
      <w:r>
        <w:rPr>
          <w:sz w:val="28"/>
          <w:szCs w:val="28"/>
        </w:rPr>
        <w:t>4.</w:t>
      </w:r>
      <w:r>
        <w:rPr>
          <w:rFonts w:hint="eastAsia"/>
          <w:sz w:val="28"/>
          <w:szCs w:val="28"/>
        </w:rPr>
        <w:t>竞谈文件要注明工期及质保时间，售后服务响应时间。</w:t>
      </w:r>
    </w:p>
    <w:p w14:paraId="1BB9410B">
      <w:pPr>
        <w:ind w:firstLine="565" w:firstLineChars="202"/>
        <w:rPr>
          <w:rFonts w:ascii="宋体"/>
          <w:b/>
          <w:bCs/>
          <w:sz w:val="28"/>
          <w:szCs w:val="28"/>
        </w:rPr>
      </w:pPr>
      <w:r>
        <w:rPr>
          <w:sz w:val="28"/>
          <w:szCs w:val="28"/>
        </w:rPr>
        <w:t>5.</w:t>
      </w:r>
      <w:r>
        <w:rPr>
          <w:rFonts w:hint="eastAsia"/>
          <w:sz w:val="28"/>
          <w:szCs w:val="28"/>
        </w:rPr>
        <w:t>竞谈文件一式肆份，壹正叁副。</w:t>
      </w:r>
    </w:p>
    <w:p w14:paraId="0BAC764A">
      <w:pPr>
        <w:spacing w:line="360" w:lineRule="auto"/>
        <w:ind w:firstLine="568" w:firstLineChars="202"/>
        <w:rPr>
          <w:rFonts w:hint="eastAsia" w:ascii="宋体" w:hAnsi="宋体"/>
          <w:b/>
          <w:bCs/>
          <w:color w:val="FF0000"/>
          <w:sz w:val="28"/>
          <w:szCs w:val="28"/>
        </w:rPr>
      </w:pPr>
      <w:r>
        <w:rPr>
          <w:rFonts w:hint="eastAsia" w:ascii="宋体" w:hAnsi="宋体"/>
          <w:b/>
          <w:bCs/>
          <w:color w:val="FF0000"/>
          <w:sz w:val="28"/>
          <w:szCs w:val="28"/>
        </w:rPr>
        <w:t>四、设备名称、数量及参数要求：</w:t>
      </w:r>
    </w:p>
    <w:tbl>
      <w:tblPr>
        <w:tblStyle w:val="1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1185"/>
        <w:gridCol w:w="3355"/>
        <w:gridCol w:w="719"/>
        <w:gridCol w:w="665"/>
        <w:gridCol w:w="731"/>
        <w:gridCol w:w="807"/>
        <w:gridCol w:w="764"/>
        <w:gridCol w:w="1080"/>
      </w:tblGrid>
      <w:tr w14:paraId="2DA29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D23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C5D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产品名称</w:t>
            </w:r>
          </w:p>
        </w:tc>
        <w:tc>
          <w:tcPr>
            <w:tcW w:w="33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3CC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详细参数</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9E26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9DE2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7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05DA9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品牌</w:t>
            </w:r>
          </w:p>
        </w:tc>
        <w:tc>
          <w:tcPr>
            <w:tcW w:w="8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2E3D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单价</w:t>
            </w:r>
          </w:p>
        </w:tc>
        <w:tc>
          <w:tcPr>
            <w:tcW w:w="7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7AC8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小计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8095F9">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备注</w:t>
            </w:r>
          </w:p>
        </w:tc>
      </w:tr>
      <w:tr w14:paraId="6A287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C9E4B4"/>
            <w:noWrap/>
            <w:vAlign w:val="center"/>
          </w:tcPr>
          <w:p w14:paraId="65B39C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w:t>
            </w:r>
          </w:p>
        </w:tc>
        <w:tc>
          <w:tcPr>
            <w:tcW w:w="5924" w:type="dxa"/>
            <w:gridSpan w:val="4"/>
            <w:tcBorders>
              <w:top w:val="single" w:color="000000" w:sz="4" w:space="0"/>
              <w:left w:val="single" w:color="000000" w:sz="4" w:space="0"/>
              <w:bottom w:val="single" w:color="000000" w:sz="4" w:space="0"/>
              <w:right w:val="single" w:color="000000" w:sz="4" w:space="0"/>
            </w:tcBorders>
            <w:shd w:val="clear" w:color="auto" w:fill="C9E4B4"/>
            <w:noWrap/>
            <w:vAlign w:val="center"/>
          </w:tcPr>
          <w:p w14:paraId="2E44E99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配电系统</w:t>
            </w:r>
          </w:p>
        </w:tc>
        <w:tc>
          <w:tcPr>
            <w:tcW w:w="731" w:type="dxa"/>
            <w:tcBorders>
              <w:top w:val="single" w:color="000000" w:sz="4" w:space="0"/>
              <w:left w:val="single" w:color="000000" w:sz="4" w:space="0"/>
              <w:bottom w:val="single" w:color="000000" w:sz="4" w:space="0"/>
              <w:right w:val="single" w:color="000000" w:sz="4" w:space="0"/>
            </w:tcBorders>
            <w:shd w:val="clear" w:color="auto" w:fill="C9E4B4"/>
            <w:noWrap/>
            <w:vAlign w:val="center"/>
          </w:tcPr>
          <w:p w14:paraId="0E9639E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C9E4B4"/>
            <w:noWrap/>
            <w:vAlign w:val="center"/>
          </w:tcPr>
          <w:p w14:paraId="3DF5C6D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764" w:type="dxa"/>
            <w:tcBorders>
              <w:top w:val="single" w:color="000000" w:sz="4" w:space="0"/>
              <w:left w:val="single" w:color="000000" w:sz="4" w:space="0"/>
              <w:bottom w:val="single" w:color="000000" w:sz="4" w:space="0"/>
              <w:right w:val="single" w:color="000000" w:sz="4" w:space="0"/>
            </w:tcBorders>
            <w:shd w:val="clear" w:color="auto" w:fill="C9E4B4"/>
            <w:noWrap/>
            <w:vAlign w:val="center"/>
          </w:tcPr>
          <w:p w14:paraId="1E4996F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C9E4B4"/>
            <w:noWrap/>
            <w:vAlign w:val="center"/>
          </w:tcPr>
          <w:p w14:paraId="2DF0901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7B41E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73DE82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5924" w:type="dxa"/>
            <w:gridSpan w:val="4"/>
            <w:tcBorders>
              <w:top w:val="single" w:color="000000" w:sz="4" w:space="0"/>
              <w:left w:val="single" w:color="000000" w:sz="4" w:space="0"/>
              <w:bottom w:val="single" w:color="000000" w:sz="4" w:space="0"/>
              <w:right w:val="single" w:color="000000" w:sz="4" w:space="0"/>
            </w:tcBorders>
            <w:shd w:val="clear" w:color="auto" w:fill="C9E4B4"/>
            <w:noWrap/>
            <w:vAlign w:val="center"/>
          </w:tcPr>
          <w:p w14:paraId="1643603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配电列头柜</w:t>
            </w:r>
          </w:p>
        </w:tc>
        <w:tc>
          <w:tcPr>
            <w:tcW w:w="731" w:type="dxa"/>
            <w:tcBorders>
              <w:top w:val="single" w:color="000000" w:sz="4" w:space="0"/>
              <w:left w:val="single" w:color="000000" w:sz="4" w:space="0"/>
              <w:bottom w:val="single" w:color="000000" w:sz="4" w:space="0"/>
              <w:right w:val="single" w:color="000000" w:sz="4" w:space="0"/>
            </w:tcBorders>
            <w:shd w:val="clear" w:color="auto" w:fill="C9E4B4"/>
            <w:noWrap/>
            <w:vAlign w:val="center"/>
          </w:tcPr>
          <w:p w14:paraId="24BE795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C9E4B4"/>
            <w:noWrap/>
            <w:vAlign w:val="center"/>
          </w:tcPr>
          <w:p w14:paraId="7FCAD46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764" w:type="dxa"/>
            <w:tcBorders>
              <w:top w:val="single" w:color="000000" w:sz="4" w:space="0"/>
              <w:left w:val="single" w:color="000000" w:sz="4" w:space="0"/>
              <w:bottom w:val="single" w:color="000000" w:sz="4" w:space="0"/>
              <w:right w:val="single" w:color="000000" w:sz="4" w:space="0"/>
            </w:tcBorders>
            <w:shd w:val="clear" w:color="auto" w:fill="C9E4B4"/>
            <w:noWrap/>
            <w:vAlign w:val="center"/>
          </w:tcPr>
          <w:p w14:paraId="37884DF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C9E4B4"/>
            <w:noWrap/>
            <w:vAlign w:val="center"/>
          </w:tcPr>
          <w:p w14:paraId="36EDC3B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1E5A1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59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F4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配电专用智慧机柜</w:t>
            </w:r>
          </w:p>
        </w:tc>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24B8">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模块化配电专用机柜，42U，19" ，</w:t>
            </w:r>
            <w:r>
              <w:rPr>
                <w:rFonts w:hint="eastAsia" w:ascii="宋体" w:hAnsi="宋体" w:cs="宋体"/>
                <w:i w:val="0"/>
                <w:iCs w:val="0"/>
                <w:color w:val="000000"/>
                <w:kern w:val="0"/>
                <w:sz w:val="22"/>
                <w:szCs w:val="22"/>
                <w:u w:val="none"/>
                <w:lang w:val="en-US" w:eastAsia="zh-CN" w:bidi="ar"/>
              </w:rPr>
              <w:t>色号：</w:t>
            </w:r>
            <w:r>
              <w:rPr>
                <w:rFonts w:hint="eastAsia" w:ascii="宋体" w:hAnsi="宋体" w:eastAsia="宋体" w:cs="宋体"/>
                <w:i w:val="0"/>
                <w:iCs w:val="0"/>
                <w:color w:val="000000"/>
                <w:kern w:val="0"/>
                <w:sz w:val="22"/>
                <w:szCs w:val="22"/>
                <w:u w:val="none"/>
                <w:lang w:val="en-US" w:eastAsia="zh-CN" w:bidi="ar"/>
              </w:rPr>
              <w:t>RAL9005，600mm(W)*1200mm(D)*2000mm(H)；柜体应满足以下要求：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2、抗震：机柜带载不低于500kg测试通过8、9级烈度结构抗地震考核，提供权威第三方检测报告。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3、机柜柜体表面应喷涂无眩目反光的覆盖层，表面光洁、色泽均匀，金属件无毛刺、无锈蚀；涂层厚度控制在60-90µm，磨砂纹理，色泽均匀；表面折角处不能有皱纹、裂纹、毛刺、焊接等痕迹。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毛刷式进线顶盖和多段式进线底板。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4、整柜防护等级满足IP20，内部预留非金属阻燃走线槽，进出线加装电缆护套和卡板，二层门开启方便快捷便于检修；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精密配电柜的支路断路器安装结构件采用固定式结构。柜门、盖、覆板及二层门等可移式金属构件皆需焊接规格为M8*20的镀铜螺柱，焊接后四周无焊渣等缺陷，接地连接处应有防锈蚀、防松脱及绝缘层刺破的措施，以确保接地连接的可靠性。生产厂商根据干线图丝印系统模拟线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6、输入开关不少于160A/3*2,支路输出不小于48*32A/1P输出，采用施耐德品牌开关，要求主支路监测。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7、主输入塑壳断路器分断能力不低于36KA，支路断路器均加装电流采集模块，采集数据与智能触摸屏完美兼容，可以实现远程监控。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8、精密配电柜须加装交流输入浪涌保护器及相应后备保护断路器，浪涌保护器带故障指示功能及遥信开关。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9、浪涌保护器：需满足按图纸要求，持续工作电压380V，每相显示保护状态，带故障指示功能和状态检测。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、精密配电柜中各带电回路之间以及带电零部件或接地零部件之间的爬电距离和电气间隙应符合GB/T 3797-2016 的规定。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11</w:t>
            </w:r>
            <w:r>
              <w:rPr>
                <w:rFonts w:hint="eastAsia" w:ascii="宋体" w:hAnsi="宋体" w:eastAsia="宋体" w:cs="宋体"/>
                <w:i w:val="0"/>
                <w:iCs w:val="0"/>
                <w:color w:val="000000"/>
                <w:kern w:val="0"/>
                <w:sz w:val="22"/>
                <w:szCs w:val="22"/>
                <w:u w:val="none"/>
                <w:lang w:val="en-US" w:eastAsia="zh-CN" w:bidi="ar"/>
              </w:rPr>
              <w:t>、柜内铜排纯度应达到99.9%以上。投标方应提供柜内铜排相关的《中国有色金属工业产品质量监督检验中心检测报告》。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本地人机界面须直观显示列头柜的系统图及实时的断路器状态（实时刷新），界面显示的受电机柜编号须保证与机柜一一对应，实时显示相电压、线电压、相电流、负载百分比、有功功率、无功功率、视在功率、功率因数、有功电能、无功电能、频率、零地电压、零序电流、基波有功功率、谐波有功功率、基波有功电能等参数。显示值精确到0.1A（0.01kVA），刷新频率不低于1 次／s，具有与上位机通讯接口支持modbus协议。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、回路精度要求：电流0.5级，电能1级，功率1级。出线回路CT测量精度不小于0.5级。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、监测系统测量精度要求：电流、电压0.5级，有功电度1级，无功电度1级。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配电柜体颜色须与机柜设备RAL色号完全匹配，表面处理工艺采用相同静电喷涂标准‌，配电列头柜底座槽钢规格须与现有预埋件完全匹配，配电列头柜须兼容现有数据中心机房智能化管理平台系统，无缝接入已建设动环系统统一管理，相关接入工作由配电柜厂家完成。要求与原动环系统开发商进行协议深度解析‌，确保新增设备在智能化管理平台中显示而非独立子系统，数据存储周期与历史查询功能须与原系统完全同步。</w:t>
            </w:r>
          </w:p>
          <w:p w14:paraId="003075BA">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15、</w:t>
            </w:r>
            <w:r>
              <w:rPr>
                <w:rFonts w:hint="eastAsia" w:ascii="宋体" w:hAnsi="宋体" w:eastAsia="宋体" w:cs="宋体"/>
                <w:i w:val="0"/>
                <w:iCs w:val="0"/>
                <w:color w:val="000000"/>
                <w:kern w:val="0"/>
                <w:sz w:val="22"/>
                <w:szCs w:val="22"/>
                <w:u w:val="none"/>
                <w:lang w:val="en-US" w:eastAsia="zh-CN" w:bidi="ar"/>
              </w:rPr>
              <w:t>配电列头柜须兼容现有数据中心机房智能化管理平台系统，无缝接入已建设动环系统统一管理，相关接入工作由配电柜厂家完成。要求与原动环系统开发商进行协议深度解析‌，确保新增设备在智能化管理平台中显示而非独立子系统，数据存储周期与历史查询功能须与原系统完全同步。</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EB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9C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C6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BF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B66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A0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C1E2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BE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9F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智慧化配电单元</w:t>
            </w:r>
          </w:p>
        </w:tc>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A8FB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一、A路输出侧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1、主路开关A路（输入）：1*160A/3P，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2、支路开关A路（输出）：24*32A/1PPDU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3、防雷模块：配置C级防雷模块。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二、B路输出侧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1、主路开关B路（输入）：1*160A/3P，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2、支路开关B路（输出）：24*32A/1PPDU.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3、防雷模块：配置C级防雷模块。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三、其他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1、智能监测模块单元：具备主路和支路电气参数监测功能，面板配置触摸屏</w:t>
            </w:r>
            <w:r>
              <w:rPr>
                <w:rFonts w:hint="eastAsia" w:ascii="宋体" w:hAnsi="宋体" w:cs="宋体"/>
                <w:i w:val="0"/>
                <w:iCs w:val="0"/>
                <w:color w:val="000000"/>
                <w:kern w:val="0"/>
                <w:sz w:val="22"/>
                <w:szCs w:val="22"/>
                <w:u w:val="none"/>
                <w:lang w:val="en-US" w:eastAsia="zh-CN" w:bidi="ar"/>
              </w:rPr>
              <w:t>，对接原有微动环系统。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2、走线方式：上下进出。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3、支路元件安装方式：固定安装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空开元器件施耐德品牌。</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29E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B6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76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F3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CA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30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D588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34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B0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智慧机柜专用普通PDU</w:t>
            </w:r>
          </w:p>
        </w:tc>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B489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PDU-基本型，32A输入，输出20*10A+4*16A-不含线缆，端子接入</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D08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条</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73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CB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53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F7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EF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C431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77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5F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PDU至列头柜电缆</w:t>
            </w:r>
          </w:p>
        </w:tc>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D82E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ZR-RVV3*6mm²</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C06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F1A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C0D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DC5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8D4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0DF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8BF0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09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4AD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列头柜接入电缆</w:t>
            </w:r>
          </w:p>
        </w:tc>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A63D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ZR-YJV-4*50+1*25</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1C9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FE3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514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791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4BA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0DD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1C67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6D5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865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辅材</w:t>
            </w:r>
          </w:p>
        </w:tc>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01E7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相应鼻子、螺栓、热缩管、五指套、接地线缆等</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572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3F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392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90F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DB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2F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FB6C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39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E1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散力架</w:t>
            </w:r>
          </w:p>
        </w:tc>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26B9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要求不低于8#角钢定制</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3C2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CE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DA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8A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3C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497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C793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74C249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5924" w:type="dxa"/>
            <w:gridSpan w:val="4"/>
            <w:tcBorders>
              <w:top w:val="single" w:color="000000" w:sz="4" w:space="0"/>
              <w:left w:val="single" w:color="000000" w:sz="4" w:space="0"/>
              <w:bottom w:val="single" w:color="000000" w:sz="4" w:space="0"/>
              <w:right w:val="single" w:color="000000" w:sz="4" w:space="0"/>
            </w:tcBorders>
            <w:shd w:val="clear" w:color="auto" w:fill="C9E4B4"/>
            <w:vAlign w:val="center"/>
          </w:tcPr>
          <w:p w14:paraId="238DAB9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UPS系统</w:t>
            </w:r>
          </w:p>
        </w:tc>
        <w:tc>
          <w:tcPr>
            <w:tcW w:w="731"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07B94B3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1161D0C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764"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5F49DBE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15BE4FB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0A6F3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E9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61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智慧机房一体化UPS配电单元</w:t>
            </w:r>
          </w:p>
        </w:tc>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68BC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一体化UPS满足输入电压380/400/415VAC，频率：50Hz/60Hz。规格尺寸（W*D*H）：800mm*1200*2000mm，具备配电及UPS功能；机框最大可扩容至150kVA；单个功率模块≥25kVA，本次配置6个功率模块，配电可实现双路市电切换、市电配电、空调配电、UPS输出配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2.空开要求ATS电源输入不小于1*400A/4P，UPS输入比小于1*250A/3P输出开关：1*250A/3P ，维修旁路开关（带锁）1*250A/4P，UPS输出支路不少于24*32A/1P；市电输出开关不少于6*D63A/3P 空调，24*32A/1P，3*16A/1P 备用，3*10A/1P备用。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3、母排应采用高电导率纯铜导体，表面需镀镍处理，含铜量不低于 99.90%，需提供《中国有色金属工业产品质量监督检验中心检测报告》以证明铜排纯度符合要求。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智能监控板：投标方应提供对精密配电柜主路、支路等多回路进行监控的智能监控板。监控板需能够实现可视化界面，采用10寸液晶彩色触摸屏展示系统模拟图，系统模拟图可显示各开关和防雷器的实时状态，可显示所有主回路及支回路的电量信息。智能监控板应支持MODBUS或SNMP协议，支持被第三方网管集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进线主断路器应采用知名品牌的塑壳断路器，要求ABB、施耐德、西门子品牌，分断能力不低于36kA。支路断路器应采用知名品牌的微型塑壳断路器，要求ABB、施耐德、西门子品牌，分断能力不低于6kA。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6、浪涌保护器采用C级浪涌保护器，耐冲击过电压额定值＜1.8kV，标称放电电流≥20KA，并配置MCB后备保护。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多回路智能监控，采用10寸液晶彩色触摸屏，触摸屏可显示系统模拟图，系统模拟图可显示各开关和防雷器的实时状态，可显示所有主回路及支回路的电量信息。双母线系统柜体中，两条母线共用一套人机操作显示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8、母线监测参数：三相输入电压、电流、频率、视在功率、有功功率、功率因数、谐波百分比、电量、三相不平衡度、零地电压、零线电流。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9、主路开关状态、负载百分比；主回路电压、电流测量精度不低于0.5%，有功/视在功率测量精度不低于1%，电能测量精度不低于1%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10、支路监测参数：支路额定电流、实际电流，支路负载百分比，支路开关状态，支路温度测量。 支路电压、电流测量精度不低于0.5%，有功/视在功率测量精度不低于1%，电能测量精度不低于1%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11、UPS应满足YD/T 2165《通信用模块化不间断电源》标准，采用模块化设计，单功率模块的额定输出功率不大于25kVA，模块化UPS的所有模块包括旁路单元、控制单元、功率单元、充电单元等均须支持在线热插拔，达到所有模块全冗余方式，提升系统高可靠性及高可用性。当某功率模块发生故障时，应自动退出系统而不影响其他模块的正常工作，系统输出不中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12、系统应采用分散充电设计，每个功率模块应具有独立的充电功能，避免充电器单点故障，提高系统的可靠性；充电功率可进行1～20%的设置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13、UPS系统采用分散非主从控制方式，每个功率模块采用独立的双DSP控制技术，单个模块可独立运行，不依赖集中控制器控制，具备不转旁路热插拔功能，使整个系统独立性增强，互相干扰少。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14、UPS系统整机采用集中旁路设计，静态旁路模块采用大功率SCR集成模块，杜绝采用小功率单管SCR+继电器方案，避免旁路造成环流问题而引发故障。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15、UPS系统需具有黑匣子功能，全面监控功率模块关键部分参数，实现故障可控可管 ：记录和预警关键部位器件的数据，可设置风扇更换时间到期提示功能，每个模块提供不少于8个温度监控点，检测每个IGBT的内部温度，进风口和出风口温度，散热器温度，有故障发生时，能够自动记录该时刻前后一段时间的各个关键点的波形，并可以导出至电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16、一体化UPS配电柜颜色须与机柜设备RAL色号完全匹配，表面处理工艺采用相同静电喷涂标准‌，新增配电柜底座槽钢规格须与现有预埋件完全匹配，安装孔位误差≤2mm‌。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配电列头柜须兼容现有数据中心机房智能化管理平台系统，无缝接入已建设动环系统统一管理，相关接入工作由配电柜厂家完成。要求与原动环系统开发商进行协议深度解析‌，确保新增设备在智能化管理平台中显示而非独立子系统，数据存储周期与历史查询功能须与原系统完全同步。</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AD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AB8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97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9A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21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29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D5EC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599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70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智慧机房模块化UPS功率模块</w:t>
            </w:r>
          </w:p>
        </w:tc>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F36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25kVA功率模块，三进三出，2U</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964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9E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EA1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5C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2E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0D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4D95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66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61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智慧机房铅酸蓄电池</w:t>
            </w:r>
          </w:p>
        </w:tc>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19C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1.蓄电池规格为12V150AH；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2.蓄电池的连续浮充工作寿命应不少于7年（使用环境温度25℃）。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3.蓄电池应能承受50kPa的正压或负压而不破裂，压力释放后壳体无残余变形。在正常工作中应无酸雾逸出；在充电过程中遇有明火，内部不应引爆；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4.蓄电池的安全阀应具有滤酸和自动开启、自动关闭的功能，其开阀压力应为10kPa～49kPa，闭阀压力应为1kPa～20kPa。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5.蓄电池在使用中应无渗液、漏液、爬液和膨胀现象。极性正确，正负极性及端子有明显标志，便于连接。</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BA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节</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71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D5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B6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CF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4F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C666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2C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70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电池连接线</w:t>
            </w:r>
          </w:p>
        </w:tc>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90A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相邻连线200mm长36根，层间连线1200mm长3根，包含线缆两端线鼻子70-8，热缩套管，蓄电池端子绝缘帽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层数：4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可安装电池节数：40</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2B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1E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B4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7D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37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23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B035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23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495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通用电池架</w:t>
            </w:r>
          </w:p>
        </w:tc>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552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1.尺寸：1550*1220*1275(长*宽*高)(mm);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2.电池规格：12V</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50Ah</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3.层数：4；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4.可安装电池节数：40；</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DEB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A3D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1C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9A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08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3C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AD45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D6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A46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电池开关箱</w:t>
            </w:r>
          </w:p>
        </w:tc>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4E25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开关规格：GM5-250PU 200A Y7D DC750V *2，尺寸(宽*高*深)(mm)：500*700*250</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779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9FE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802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BE5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FA7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0C8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CAD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26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9C0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一体化UPS接入电缆</w:t>
            </w:r>
          </w:p>
        </w:tc>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0642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ZR-YJV-4*185+1*95</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F53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A77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A54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396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81B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4DA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F5EB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09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B5C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电池到电池开关箱电缆</w:t>
            </w:r>
          </w:p>
        </w:tc>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850C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ZR-BVR-70mm²</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794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DBD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65A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5A7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ED2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A4D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9085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AC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3CD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电池开关箱到一体化UPS电缆</w:t>
            </w:r>
          </w:p>
        </w:tc>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F608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ZR-RVV-185mm²</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6A6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96B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0BA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5AB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E46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D01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12DF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88F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274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一体化UPS监控线</w:t>
            </w:r>
          </w:p>
        </w:tc>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A05C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六类非屏蔽网线</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3F1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箱</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C96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81D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862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B2D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04C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B901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80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4CC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辅材</w:t>
            </w:r>
          </w:p>
        </w:tc>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1C11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相应鼻子、螺栓、热缩管、五指套、接地线缆等</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405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7F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30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35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93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E5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86C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B0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0CA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设备底座</w:t>
            </w:r>
          </w:p>
        </w:tc>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CD28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要求不低于8#角钢定制</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AFA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E52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AAA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3BC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5FA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137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0E7F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82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A60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电池架底部支架</w:t>
            </w:r>
          </w:p>
        </w:tc>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2AFC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要求不低于8#槽钢定制</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ABE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AF1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776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BA8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6FD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BBB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896F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C9E4B4"/>
            <w:noWrap/>
            <w:vAlign w:val="center"/>
          </w:tcPr>
          <w:p w14:paraId="47F414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w:t>
            </w:r>
          </w:p>
        </w:tc>
        <w:tc>
          <w:tcPr>
            <w:tcW w:w="5924" w:type="dxa"/>
            <w:gridSpan w:val="4"/>
            <w:tcBorders>
              <w:top w:val="single" w:color="000000" w:sz="4" w:space="0"/>
              <w:left w:val="single" w:color="000000" w:sz="4" w:space="0"/>
              <w:bottom w:val="single" w:color="000000" w:sz="4" w:space="0"/>
              <w:right w:val="single" w:color="000000" w:sz="4" w:space="0"/>
            </w:tcBorders>
            <w:shd w:val="clear" w:color="auto" w:fill="C9E4B4"/>
            <w:vAlign w:val="center"/>
          </w:tcPr>
          <w:p w14:paraId="486919A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智能管理系统</w:t>
            </w:r>
          </w:p>
        </w:tc>
        <w:tc>
          <w:tcPr>
            <w:tcW w:w="731"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283FB5E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2F263D3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764"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223F469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0EA42EB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55EE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8F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0C8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智能采集器</w:t>
            </w:r>
          </w:p>
        </w:tc>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8411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挂耳安装，软硬件双看门狗护卫；四路 RS485/RS422/RS232 相互独立，四路串口可同时使用； 支持 Modbus 地址、寄存器映射；支持MQTT/HTTP/TCP SERVER/TCP CLIENT、UDP SERVER、UDP CLIENT 等网络工作模式；可透明传输，；支持 24 个网络通道同时连接，每个网络通道可支持64 个 TCP 客户端连接；可使用配置工具或网页配置参数；含220V转DC12V电源适配器。</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1CD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273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E9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63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14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6E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373D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0D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1D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数据中心机房智能化管理平台（UPS控制系统需</w:t>
            </w:r>
            <w:r>
              <w:rPr>
                <w:rFonts w:hint="eastAsia" w:ascii="宋体" w:hAnsi="宋体" w:cs="宋体"/>
                <w:i w:val="0"/>
                <w:iCs w:val="0"/>
                <w:color w:val="000000"/>
                <w:kern w:val="0"/>
                <w:sz w:val="22"/>
                <w:szCs w:val="22"/>
                <w:u w:val="none"/>
                <w:lang w:val="en-US" w:eastAsia="zh-CN" w:bidi="ar"/>
              </w:rPr>
              <w:t>接</w:t>
            </w:r>
            <w:r>
              <w:rPr>
                <w:rFonts w:hint="eastAsia" w:ascii="宋体" w:hAnsi="宋体" w:eastAsia="宋体" w:cs="宋体"/>
                <w:i w:val="0"/>
                <w:iCs w:val="0"/>
                <w:color w:val="000000"/>
                <w:kern w:val="0"/>
                <w:sz w:val="22"/>
                <w:szCs w:val="22"/>
                <w:u w:val="none"/>
                <w:lang w:val="en-US" w:eastAsia="zh-CN" w:bidi="ar"/>
              </w:rPr>
              <w:t>入）</w:t>
            </w:r>
          </w:p>
        </w:tc>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C81EB">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B/S架构，基于TCP/IP通信网络，支持Chrome、Edge、Firefox等主流浏览器访问；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2.支持7*24小时不间断运行，同时可支持双机热备功能，实现数据自动化实时同步；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3.支持机柜级、微模块级、机房级和数据中心级的多场景、统一化和实时性的动环监控；支持资产管理、容量管理、能效管理和运维管理、数据自定义存储、等功能模块；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4.能够监控数据中心（机房）内各种智能设备(包括但不限于UPS、列间空调、精密配电柜、视频、门禁)的运行情况，以及包括温湿度、漏水、门磁、消防告警等在内的各类模拟量和开关量信号，并设定报警阈值；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5.支持2.5D组态，可通过组件拖拽生成立体机房布局图。组件支持和监控对象的数据对接，支持点击查看数据。支持空间容量、温度场在布局图中的展示；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6.支持能耗管理功能，可自动获取并存储机房总耗电量、电源设备耗电量、IT设备耗电量、照明等其他耗电量，可实时显示机房的瞬时PUE和年度PUE；</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7.系统具备可持续的扩容性能，支持MODBUS、TCP/IP、SNMP、HTTP等主流监控通讯协议；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8.支持告警延迟、告警屏蔽和按时间段告警等功能；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9.支持多种告警方式：页面弹窗、短信、语音、邮件、声光告警器等；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10.支持报表定制功能，支持不同时间颗粒度查询动环数据，支持报表导出，图表展示；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11.管理系统软硬应通过第三方权威机构的环境监控类产品信息安全测评，并提供证明材料。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12.组态设计: 可根据现场环境与子系统配置情况，灵活调整、组态、自定义展示我；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13.支持北向协议配置：可配置HTTP、SNMP等标准协议。</w:t>
            </w:r>
          </w:p>
          <w:p w14:paraId="3DCBA13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14.系统应支持温湿度、烟雾、UPS、配电、空调、摄像头等传感器和</w:t>
            </w:r>
            <w:r>
              <w:rPr>
                <w:rFonts w:hint="eastAsia" w:ascii="宋体" w:hAnsi="宋体" w:cs="宋体"/>
                <w:i w:val="0"/>
                <w:iCs w:val="0"/>
                <w:color w:val="000000"/>
                <w:kern w:val="0"/>
                <w:sz w:val="22"/>
                <w:szCs w:val="22"/>
                <w:u w:val="none"/>
                <w:lang w:val="en-US" w:eastAsia="zh-CN" w:bidi="ar"/>
              </w:rPr>
              <w:t>线路管路</w:t>
            </w:r>
            <w:r>
              <w:rPr>
                <w:rFonts w:hint="eastAsia" w:ascii="宋体" w:hAnsi="宋体" w:eastAsia="宋体" w:cs="宋体"/>
                <w:i w:val="0"/>
                <w:iCs w:val="0"/>
                <w:color w:val="000000"/>
                <w:kern w:val="0"/>
                <w:sz w:val="22"/>
                <w:szCs w:val="22"/>
                <w:u w:val="none"/>
                <w:lang w:val="en-US" w:eastAsia="zh-CN" w:bidi="ar"/>
              </w:rPr>
              <w:t>的状态或参数的图形化展示；</w:t>
            </w:r>
          </w:p>
          <w:p w14:paraId="4FD83B2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本平台</w:t>
            </w:r>
            <w:r>
              <w:rPr>
                <w:rFonts w:hint="eastAsia" w:ascii="宋体" w:hAnsi="宋体" w:eastAsia="宋体" w:cs="宋体"/>
                <w:i w:val="0"/>
                <w:iCs w:val="0"/>
                <w:color w:val="000000"/>
                <w:kern w:val="0"/>
                <w:sz w:val="22"/>
                <w:szCs w:val="22"/>
                <w:u w:val="none"/>
                <w:lang w:val="en-US" w:eastAsia="zh-CN" w:bidi="ar"/>
              </w:rPr>
              <w:t>要求与</w:t>
            </w:r>
            <w:r>
              <w:rPr>
                <w:rFonts w:hint="eastAsia" w:ascii="宋体" w:hAnsi="宋体" w:cs="宋体"/>
                <w:i w:val="0"/>
                <w:iCs w:val="0"/>
                <w:color w:val="000000"/>
                <w:kern w:val="0"/>
                <w:sz w:val="22"/>
                <w:szCs w:val="22"/>
                <w:u w:val="none"/>
                <w:lang w:val="en-US" w:eastAsia="zh-CN" w:bidi="ar"/>
              </w:rPr>
              <w:t>原有微动环平台</w:t>
            </w:r>
            <w:r>
              <w:rPr>
                <w:rFonts w:hint="eastAsia" w:ascii="宋体" w:hAnsi="宋体" w:eastAsia="宋体" w:cs="宋体"/>
                <w:i w:val="0"/>
                <w:iCs w:val="0"/>
                <w:color w:val="000000"/>
                <w:kern w:val="0"/>
                <w:sz w:val="22"/>
                <w:szCs w:val="22"/>
                <w:u w:val="none"/>
                <w:lang w:val="en-US" w:eastAsia="zh-CN" w:bidi="ar"/>
              </w:rPr>
              <w:t>无缝对接</w:t>
            </w:r>
            <w:r>
              <w:rPr>
                <w:rFonts w:hint="eastAsia" w:ascii="宋体" w:hAnsi="宋体" w:cs="宋体"/>
                <w:i w:val="0"/>
                <w:iCs w:val="0"/>
                <w:color w:val="000000"/>
                <w:kern w:val="0"/>
                <w:sz w:val="22"/>
                <w:szCs w:val="22"/>
                <w:u w:val="none"/>
                <w:lang w:val="en-US" w:eastAsia="zh-CN" w:bidi="ar"/>
              </w:rPr>
              <w:t>。</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4D7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4B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E1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9F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3C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04E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47F7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F2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90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安装服务费</w:t>
            </w:r>
          </w:p>
        </w:tc>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0718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强电安装，设备安装，平台对接服务。</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6E7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60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EDC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84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0F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A2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30A6BBF6">
      <w:pPr>
        <w:spacing w:line="440" w:lineRule="exact"/>
        <w:outlineLvl w:val="2"/>
        <w:rPr>
          <w:rFonts w:ascii="宋体" w:hAnsi="宋体"/>
          <w:b/>
          <w:bCs/>
          <w:color w:val="FF0000"/>
          <w:sz w:val="28"/>
          <w:szCs w:val="28"/>
        </w:rPr>
      </w:pPr>
      <w:r>
        <w:rPr>
          <w:rFonts w:hint="eastAsia" w:ascii="仿宋_GB2312" w:hAnsi="宋体" w:eastAsia="仿宋_GB2312"/>
          <w:b/>
          <w:color w:val="FF0000"/>
          <w:sz w:val="28"/>
          <w:szCs w:val="28"/>
        </w:rPr>
        <w:t>备注：以上参数仅供参考，报价产品达到或优于以上参数即可，</w:t>
      </w:r>
      <w:r>
        <w:rPr>
          <w:rFonts w:hint="eastAsia" w:ascii="仿宋_GB2312" w:hAnsi="宋体" w:eastAsia="仿宋_GB2312"/>
          <w:b/>
          <w:color w:val="FF0000"/>
          <w:sz w:val="28"/>
          <w:szCs w:val="28"/>
          <w:lang w:val="en-US" w:eastAsia="zh-CN"/>
        </w:rPr>
        <w:t>要求智慧化配电单元、一体化UPS配电单元、智能化管理平台均能对接原有微动环系统。</w:t>
      </w:r>
      <w:r>
        <w:rPr>
          <w:rFonts w:hint="eastAsia" w:ascii="仿宋_GB2312" w:hAnsi="宋体" w:eastAsia="仿宋_GB2312"/>
          <w:b/>
          <w:color w:val="FF0000"/>
          <w:sz w:val="28"/>
          <w:szCs w:val="28"/>
        </w:rPr>
        <w:t>参与竞谈单位根据以上功能需求，提供自有品牌产品的详细技术方案，技术方案中提供详细的功能描述、技术参数</w:t>
      </w:r>
      <w:r>
        <w:rPr>
          <w:rFonts w:hint="eastAsia" w:ascii="宋体" w:hAnsi="宋体"/>
          <w:b/>
          <w:bCs/>
          <w:color w:val="FF0000"/>
          <w:sz w:val="28"/>
          <w:szCs w:val="28"/>
        </w:rPr>
        <w:t>。</w:t>
      </w:r>
    </w:p>
    <w:p w14:paraId="14F4B1C5">
      <w:pPr>
        <w:adjustRightInd w:val="0"/>
        <w:snapToGrid w:val="0"/>
        <w:spacing w:line="400" w:lineRule="exact"/>
        <w:ind w:firstLine="480"/>
        <w:rPr>
          <w:rFonts w:ascii="宋体" w:hAnsi="宋体"/>
          <w:b/>
          <w:bCs/>
          <w:sz w:val="28"/>
          <w:szCs w:val="28"/>
        </w:rPr>
      </w:pPr>
      <w:r>
        <w:rPr>
          <w:rFonts w:hint="eastAsia" w:ascii="宋体" w:hAnsi="宋体"/>
          <w:b/>
          <w:bCs/>
          <w:sz w:val="28"/>
          <w:szCs w:val="28"/>
        </w:rPr>
        <w:t>五、最终报价及相关文件要求：</w:t>
      </w:r>
    </w:p>
    <w:tbl>
      <w:tblPr>
        <w:tblStyle w:val="16"/>
        <w:tblW w:w="0" w:type="auto"/>
        <w:tblInd w:w="0" w:type="dxa"/>
        <w:tblLayout w:type="fixed"/>
        <w:tblCellMar>
          <w:top w:w="0" w:type="dxa"/>
          <w:left w:w="108" w:type="dxa"/>
          <w:bottom w:w="0" w:type="dxa"/>
          <w:right w:w="108" w:type="dxa"/>
        </w:tblCellMar>
      </w:tblPr>
      <w:tblGrid>
        <w:gridCol w:w="574"/>
        <w:gridCol w:w="1121"/>
        <w:gridCol w:w="767"/>
        <w:gridCol w:w="1090"/>
        <w:gridCol w:w="1719"/>
        <w:gridCol w:w="1090"/>
        <w:gridCol w:w="927"/>
        <w:gridCol w:w="1248"/>
        <w:gridCol w:w="1090"/>
        <w:gridCol w:w="794"/>
      </w:tblGrid>
      <w:tr w14:paraId="1035E690">
        <w:tblPrEx>
          <w:tblCellMar>
            <w:top w:w="0" w:type="dxa"/>
            <w:left w:w="108" w:type="dxa"/>
            <w:bottom w:w="0" w:type="dxa"/>
            <w:right w:w="108" w:type="dxa"/>
          </w:tblCellMar>
        </w:tblPrEx>
        <w:trPr>
          <w:trHeight w:val="270" w:hRule="atLeast"/>
        </w:trPr>
        <w:tc>
          <w:tcPr>
            <w:tcW w:w="10420" w:type="dxa"/>
            <w:gridSpan w:val="10"/>
            <w:tcBorders>
              <w:top w:val="nil"/>
              <w:left w:val="nil"/>
              <w:bottom w:val="single" w:color="auto" w:sz="4" w:space="0"/>
              <w:right w:val="nil"/>
            </w:tcBorders>
            <w:vAlign w:val="center"/>
          </w:tcPr>
          <w:p w14:paraId="0C86AEFE">
            <w:pPr>
              <w:adjustRightInd w:val="0"/>
              <w:spacing w:line="400" w:lineRule="exact"/>
              <w:ind w:firstLine="475" w:firstLineChars="197"/>
              <w:jc w:val="left"/>
              <w:rPr>
                <w:rFonts w:ascii="宋体" w:hAnsi="宋体" w:cs="宋体"/>
                <w:color w:val="000000"/>
                <w:kern w:val="0"/>
                <w:sz w:val="22"/>
                <w:szCs w:val="22"/>
              </w:rPr>
            </w:pPr>
            <w:r>
              <w:rPr>
                <w:rFonts w:hint="eastAsia" w:ascii="宋体" w:hAnsi="宋体"/>
                <w:b/>
                <w:bCs/>
                <w:sz w:val="24"/>
              </w:rPr>
              <w:t>（一）报价文件格式</w:t>
            </w:r>
          </w:p>
        </w:tc>
      </w:tr>
      <w:tr w14:paraId="0C0AEA3F">
        <w:tblPrEx>
          <w:tblCellMar>
            <w:top w:w="0" w:type="dxa"/>
            <w:left w:w="108" w:type="dxa"/>
            <w:bottom w:w="0" w:type="dxa"/>
            <w:right w:w="108" w:type="dxa"/>
          </w:tblCellMar>
        </w:tblPrEx>
        <w:trPr>
          <w:trHeight w:val="270" w:hRule="atLeast"/>
        </w:trPr>
        <w:tc>
          <w:tcPr>
            <w:tcW w:w="574" w:type="dxa"/>
            <w:tcBorders>
              <w:top w:val="nil"/>
              <w:left w:val="single" w:color="auto" w:sz="4" w:space="0"/>
              <w:bottom w:val="single" w:color="auto" w:sz="4" w:space="0"/>
              <w:right w:val="single" w:color="auto" w:sz="4" w:space="0"/>
            </w:tcBorders>
            <w:vAlign w:val="center"/>
          </w:tcPr>
          <w:p w14:paraId="12728228">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121" w:type="dxa"/>
            <w:tcBorders>
              <w:top w:val="nil"/>
              <w:left w:val="nil"/>
              <w:bottom w:val="single" w:color="auto" w:sz="4" w:space="0"/>
              <w:right w:val="single" w:color="auto" w:sz="4" w:space="0"/>
            </w:tcBorders>
            <w:vAlign w:val="center"/>
          </w:tcPr>
          <w:p w14:paraId="5E180216">
            <w:pPr>
              <w:widowControl/>
              <w:jc w:val="center"/>
              <w:rPr>
                <w:rFonts w:ascii="宋体" w:hAnsi="宋体" w:cs="宋体"/>
                <w:color w:val="000000"/>
                <w:kern w:val="0"/>
                <w:sz w:val="18"/>
                <w:szCs w:val="18"/>
              </w:rPr>
            </w:pPr>
            <w:r>
              <w:rPr>
                <w:rFonts w:hint="eastAsia" w:ascii="宋体" w:hAnsi="宋体" w:cs="宋体"/>
                <w:color w:val="000000"/>
                <w:kern w:val="0"/>
                <w:sz w:val="18"/>
                <w:szCs w:val="18"/>
              </w:rPr>
              <w:t>产品名称</w:t>
            </w:r>
          </w:p>
        </w:tc>
        <w:tc>
          <w:tcPr>
            <w:tcW w:w="767" w:type="dxa"/>
            <w:tcBorders>
              <w:top w:val="nil"/>
              <w:left w:val="nil"/>
              <w:bottom w:val="single" w:color="auto" w:sz="4" w:space="0"/>
              <w:right w:val="single" w:color="auto" w:sz="4" w:space="0"/>
            </w:tcBorders>
            <w:vAlign w:val="center"/>
          </w:tcPr>
          <w:p w14:paraId="2A41CB1A">
            <w:pPr>
              <w:widowControl/>
              <w:jc w:val="center"/>
              <w:rPr>
                <w:rFonts w:ascii="宋体" w:hAnsi="宋体" w:cs="宋体"/>
                <w:color w:val="000000"/>
                <w:kern w:val="0"/>
                <w:sz w:val="18"/>
                <w:szCs w:val="18"/>
              </w:rPr>
            </w:pPr>
            <w:r>
              <w:rPr>
                <w:rFonts w:hint="eastAsia" w:ascii="宋体" w:hAnsi="宋体" w:cs="宋体"/>
                <w:color w:val="000000"/>
                <w:kern w:val="0"/>
                <w:sz w:val="18"/>
                <w:szCs w:val="18"/>
              </w:rPr>
              <w:t>品牌</w:t>
            </w:r>
          </w:p>
        </w:tc>
        <w:tc>
          <w:tcPr>
            <w:tcW w:w="1090" w:type="dxa"/>
            <w:tcBorders>
              <w:top w:val="nil"/>
              <w:left w:val="nil"/>
              <w:bottom w:val="single" w:color="auto" w:sz="4" w:space="0"/>
              <w:right w:val="single" w:color="auto" w:sz="4" w:space="0"/>
            </w:tcBorders>
            <w:vAlign w:val="center"/>
          </w:tcPr>
          <w:p w14:paraId="37938E9A">
            <w:pPr>
              <w:widowControl/>
              <w:jc w:val="center"/>
              <w:rPr>
                <w:rFonts w:ascii="宋体" w:hAnsi="宋体" w:cs="宋体"/>
                <w:color w:val="000000"/>
                <w:kern w:val="0"/>
                <w:sz w:val="18"/>
                <w:szCs w:val="18"/>
              </w:rPr>
            </w:pPr>
            <w:r>
              <w:rPr>
                <w:rFonts w:hint="eastAsia" w:ascii="宋体" w:hAnsi="宋体" w:cs="宋体"/>
                <w:color w:val="000000"/>
                <w:kern w:val="0"/>
                <w:sz w:val="18"/>
                <w:szCs w:val="18"/>
              </w:rPr>
              <w:t>规格型号</w:t>
            </w:r>
          </w:p>
        </w:tc>
        <w:tc>
          <w:tcPr>
            <w:tcW w:w="1719" w:type="dxa"/>
            <w:tcBorders>
              <w:top w:val="nil"/>
              <w:left w:val="nil"/>
              <w:bottom w:val="single" w:color="auto" w:sz="4" w:space="0"/>
              <w:right w:val="single" w:color="auto" w:sz="4" w:space="0"/>
            </w:tcBorders>
            <w:vAlign w:val="center"/>
          </w:tcPr>
          <w:p w14:paraId="0F44758C">
            <w:pPr>
              <w:widowControl/>
              <w:jc w:val="center"/>
              <w:rPr>
                <w:rFonts w:ascii="宋体" w:hAnsi="宋体" w:cs="宋体"/>
                <w:color w:val="000000"/>
                <w:kern w:val="0"/>
                <w:sz w:val="18"/>
                <w:szCs w:val="18"/>
              </w:rPr>
            </w:pPr>
            <w:r>
              <w:rPr>
                <w:rFonts w:hint="eastAsia" w:ascii="宋体" w:hAnsi="宋体" w:cs="宋体"/>
                <w:color w:val="000000"/>
                <w:kern w:val="0"/>
                <w:sz w:val="18"/>
                <w:szCs w:val="18"/>
              </w:rPr>
              <w:t>详细技术参数</w:t>
            </w:r>
          </w:p>
        </w:tc>
        <w:tc>
          <w:tcPr>
            <w:tcW w:w="1090" w:type="dxa"/>
            <w:tcBorders>
              <w:top w:val="nil"/>
              <w:left w:val="nil"/>
              <w:bottom w:val="single" w:color="auto" w:sz="4" w:space="0"/>
              <w:right w:val="single" w:color="auto" w:sz="4" w:space="0"/>
            </w:tcBorders>
            <w:vAlign w:val="center"/>
          </w:tcPr>
          <w:p w14:paraId="03DFB727">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w:t>
            </w:r>
          </w:p>
        </w:tc>
        <w:tc>
          <w:tcPr>
            <w:tcW w:w="927" w:type="dxa"/>
            <w:tcBorders>
              <w:top w:val="nil"/>
              <w:left w:val="nil"/>
              <w:bottom w:val="single" w:color="auto" w:sz="4" w:space="0"/>
              <w:right w:val="single" w:color="auto" w:sz="4" w:space="0"/>
            </w:tcBorders>
            <w:vAlign w:val="center"/>
          </w:tcPr>
          <w:p w14:paraId="1FBCF298">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1248" w:type="dxa"/>
            <w:tcBorders>
              <w:top w:val="nil"/>
              <w:left w:val="nil"/>
              <w:bottom w:val="single" w:color="auto" w:sz="4" w:space="0"/>
              <w:right w:val="single" w:color="auto" w:sz="4" w:space="0"/>
            </w:tcBorders>
            <w:vAlign w:val="center"/>
          </w:tcPr>
          <w:p w14:paraId="3607BA52">
            <w:pPr>
              <w:widowControl/>
              <w:rPr>
                <w:rFonts w:ascii="宋体" w:hAnsi="宋体" w:cs="宋体"/>
                <w:color w:val="000000"/>
                <w:kern w:val="0"/>
                <w:sz w:val="18"/>
                <w:szCs w:val="18"/>
              </w:rPr>
            </w:pPr>
            <w:r>
              <w:rPr>
                <w:rFonts w:hint="eastAsia" w:ascii="宋体" w:hAnsi="宋体" w:cs="宋体"/>
                <w:color w:val="000000"/>
                <w:kern w:val="0"/>
                <w:sz w:val="18"/>
                <w:szCs w:val="18"/>
              </w:rPr>
              <w:t>单价（元）</w:t>
            </w:r>
          </w:p>
        </w:tc>
        <w:tc>
          <w:tcPr>
            <w:tcW w:w="1090" w:type="dxa"/>
            <w:tcBorders>
              <w:top w:val="nil"/>
              <w:left w:val="nil"/>
              <w:bottom w:val="single" w:color="auto" w:sz="4" w:space="0"/>
              <w:right w:val="single" w:color="auto" w:sz="4" w:space="0"/>
            </w:tcBorders>
            <w:vAlign w:val="center"/>
          </w:tcPr>
          <w:p w14:paraId="70ADCF04">
            <w:pPr>
              <w:widowControl/>
              <w:jc w:val="center"/>
              <w:rPr>
                <w:rFonts w:ascii="宋体" w:hAnsi="宋体" w:cs="宋体"/>
                <w:color w:val="000000"/>
                <w:kern w:val="0"/>
                <w:sz w:val="18"/>
                <w:szCs w:val="18"/>
              </w:rPr>
            </w:pPr>
            <w:r>
              <w:rPr>
                <w:rFonts w:hint="eastAsia" w:ascii="宋体" w:hAnsi="宋体" w:cs="宋体"/>
                <w:color w:val="000000"/>
                <w:kern w:val="0"/>
                <w:sz w:val="18"/>
                <w:szCs w:val="18"/>
              </w:rPr>
              <w:t>小计（元）</w:t>
            </w:r>
          </w:p>
        </w:tc>
        <w:tc>
          <w:tcPr>
            <w:tcW w:w="794" w:type="dxa"/>
            <w:tcBorders>
              <w:top w:val="nil"/>
              <w:left w:val="nil"/>
              <w:bottom w:val="single" w:color="auto" w:sz="4" w:space="0"/>
              <w:right w:val="single" w:color="auto" w:sz="4" w:space="0"/>
            </w:tcBorders>
            <w:vAlign w:val="center"/>
          </w:tcPr>
          <w:p w14:paraId="0620EFFE">
            <w:pPr>
              <w:widowControl/>
              <w:jc w:val="center"/>
              <w:rPr>
                <w:rFonts w:ascii="宋体" w:hAnsi="宋体" w:cs="宋体"/>
                <w:color w:val="000000"/>
                <w:kern w:val="0"/>
                <w:sz w:val="18"/>
                <w:szCs w:val="18"/>
              </w:rPr>
            </w:pPr>
            <w:r>
              <w:rPr>
                <w:rFonts w:hint="eastAsia" w:ascii="宋体" w:hAnsi="宋体" w:cs="宋体"/>
                <w:color w:val="000000"/>
                <w:kern w:val="0"/>
                <w:sz w:val="18"/>
                <w:szCs w:val="18"/>
              </w:rPr>
              <w:t>备注</w:t>
            </w:r>
          </w:p>
        </w:tc>
      </w:tr>
      <w:tr w14:paraId="0B368000">
        <w:tblPrEx>
          <w:tblCellMar>
            <w:top w:w="0" w:type="dxa"/>
            <w:left w:w="108" w:type="dxa"/>
            <w:bottom w:w="0" w:type="dxa"/>
            <w:right w:w="108" w:type="dxa"/>
          </w:tblCellMar>
        </w:tblPrEx>
        <w:trPr>
          <w:trHeight w:val="270" w:hRule="atLeast"/>
        </w:trPr>
        <w:tc>
          <w:tcPr>
            <w:tcW w:w="574" w:type="dxa"/>
            <w:tcBorders>
              <w:top w:val="nil"/>
              <w:left w:val="single" w:color="auto" w:sz="4" w:space="0"/>
              <w:bottom w:val="single" w:color="auto" w:sz="4" w:space="0"/>
              <w:right w:val="single" w:color="auto" w:sz="4" w:space="0"/>
            </w:tcBorders>
            <w:vAlign w:val="center"/>
          </w:tcPr>
          <w:p w14:paraId="1E84CA0E">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121" w:type="dxa"/>
            <w:tcBorders>
              <w:top w:val="nil"/>
              <w:left w:val="nil"/>
              <w:bottom w:val="single" w:color="auto" w:sz="4" w:space="0"/>
              <w:right w:val="single" w:color="auto" w:sz="4" w:space="0"/>
            </w:tcBorders>
            <w:vAlign w:val="center"/>
          </w:tcPr>
          <w:p w14:paraId="6F6AC5E5">
            <w:pPr>
              <w:widowControl/>
              <w:jc w:val="center"/>
              <w:rPr>
                <w:rFonts w:ascii="宋体" w:hAnsi="宋体" w:cs="宋体"/>
                <w:color w:val="000000"/>
                <w:kern w:val="0"/>
                <w:sz w:val="22"/>
                <w:szCs w:val="22"/>
              </w:rPr>
            </w:pPr>
          </w:p>
        </w:tc>
        <w:tc>
          <w:tcPr>
            <w:tcW w:w="767" w:type="dxa"/>
            <w:tcBorders>
              <w:top w:val="nil"/>
              <w:left w:val="nil"/>
              <w:bottom w:val="single" w:color="auto" w:sz="4" w:space="0"/>
              <w:right w:val="single" w:color="auto" w:sz="4" w:space="0"/>
            </w:tcBorders>
            <w:vAlign w:val="center"/>
          </w:tcPr>
          <w:p w14:paraId="2BEBEF52">
            <w:pPr>
              <w:widowControl/>
              <w:jc w:val="center"/>
              <w:rPr>
                <w:rFonts w:ascii="宋体" w:hAnsi="宋体" w:cs="宋体"/>
                <w:color w:val="000000"/>
                <w:kern w:val="0"/>
                <w:sz w:val="22"/>
                <w:szCs w:val="22"/>
              </w:rPr>
            </w:pPr>
          </w:p>
        </w:tc>
        <w:tc>
          <w:tcPr>
            <w:tcW w:w="1090" w:type="dxa"/>
            <w:tcBorders>
              <w:top w:val="nil"/>
              <w:left w:val="nil"/>
              <w:bottom w:val="single" w:color="auto" w:sz="4" w:space="0"/>
              <w:right w:val="single" w:color="auto" w:sz="4" w:space="0"/>
            </w:tcBorders>
            <w:vAlign w:val="center"/>
          </w:tcPr>
          <w:p w14:paraId="7C91AF1A">
            <w:pPr>
              <w:widowControl/>
              <w:jc w:val="center"/>
              <w:rPr>
                <w:rFonts w:ascii="宋体" w:hAnsi="宋体" w:cs="宋体"/>
                <w:color w:val="000000"/>
                <w:kern w:val="0"/>
                <w:sz w:val="22"/>
                <w:szCs w:val="22"/>
              </w:rPr>
            </w:pPr>
          </w:p>
        </w:tc>
        <w:tc>
          <w:tcPr>
            <w:tcW w:w="1719" w:type="dxa"/>
            <w:tcBorders>
              <w:top w:val="nil"/>
              <w:left w:val="nil"/>
              <w:bottom w:val="single" w:color="auto" w:sz="4" w:space="0"/>
              <w:right w:val="single" w:color="auto" w:sz="4" w:space="0"/>
            </w:tcBorders>
            <w:vAlign w:val="center"/>
          </w:tcPr>
          <w:p w14:paraId="6663A477">
            <w:pPr>
              <w:widowControl/>
              <w:jc w:val="center"/>
              <w:rPr>
                <w:rFonts w:ascii="宋体" w:hAnsi="宋体" w:cs="宋体"/>
                <w:color w:val="000000"/>
                <w:kern w:val="0"/>
                <w:sz w:val="22"/>
                <w:szCs w:val="22"/>
              </w:rPr>
            </w:pPr>
          </w:p>
        </w:tc>
        <w:tc>
          <w:tcPr>
            <w:tcW w:w="1090" w:type="dxa"/>
            <w:tcBorders>
              <w:top w:val="nil"/>
              <w:left w:val="nil"/>
              <w:bottom w:val="single" w:color="auto" w:sz="4" w:space="0"/>
              <w:right w:val="single" w:color="auto" w:sz="4" w:space="0"/>
            </w:tcBorders>
            <w:vAlign w:val="center"/>
          </w:tcPr>
          <w:p w14:paraId="2AE6674E">
            <w:pPr>
              <w:widowControl/>
              <w:jc w:val="center"/>
              <w:rPr>
                <w:rFonts w:ascii="宋体" w:hAnsi="宋体" w:cs="宋体"/>
                <w:color w:val="000000"/>
                <w:kern w:val="0"/>
                <w:sz w:val="22"/>
                <w:szCs w:val="22"/>
              </w:rPr>
            </w:pPr>
          </w:p>
        </w:tc>
        <w:tc>
          <w:tcPr>
            <w:tcW w:w="927" w:type="dxa"/>
            <w:tcBorders>
              <w:top w:val="nil"/>
              <w:left w:val="nil"/>
              <w:bottom w:val="single" w:color="auto" w:sz="4" w:space="0"/>
              <w:right w:val="single" w:color="auto" w:sz="4" w:space="0"/>
            </w:tcBorders>
            <w:vAlign w:val="center"/>
          </w:tcPr>
          <w:p w14:paraId="27615266">
            <w:pPr>
              <w:widowControl/>
              <w:jc w:val="center"/>
              <w:rPr>
                <w:rFonts w:ascii="宋体" w:hAnsi="宋体" w:cs="宋体"/>
                <w:color w:val="000000"/>
                <w:kern w:val="0"/>
                <w:sz w:val="22"/>
                <w:szCs w:val="22"/>
              </w:rPr>
            </w:pPr>
          </w:p>
        </w:tc>
        <w:tc>
          <w:tcPr>
            <w:tcW w:w="1248" w:type="dxa"/>
            <w:tcBorders>
              <w:top w:val="nil"/>
              <w:left w:val="nil"/>
              <w:bottom w:val="single" w:color="auto" w:sz="4" w:space="0"/>
              <w:right w:val="single" w:color="auto" w:sz="4" w:space="0"/>
            </w:tcBorders>
            <w:vAlign w:val="center"/>
          </w:tcPr>
          <w:p w14:paraId="35421709">
            <w:pPr>
              <w:widowControl/>
              <w:jc w:val="center"/>
              <w:rPr>
                <w:rFonts w:ascii="宋体" w:hAnsi="宋体" w:cs="宋体"/>
                <w:color w:val="000000"/>
                <w:kern w:val="0"/>
                <w:sz w:val="22"/>
                <w:szCs w:val="22"/>
              </w:rPr>
            </w:pPr>
          </w:p>
        </w:tc>
        <w:tc>
          <w:tcPr>
            <w:tcW w:w="1090" w:type="dxa"/>
            <w:tcBorders>
              <w:top w:val="nil"/>
              <w:left w:val="nil"/>
              <w:bottom w:val="single" w:color="auto" w:sz="4" w:space="0"/>
              <w:right w:val="single" w:color="auto" w:sz="4" w:space="0"/>
            </w:tcBorders>
            <w:vAlign w:val="center"/>
          </w:tcPr>
          <w:p w14:paraId="666F4513">
            <w:pPr>
              <w:widowControl/>
              <w:jc w:val="center"/>
              <w:rPr>
                <w:rFonts w:ascii="宋体" w:hAnsi="宋体" w:cs="宋体"/>
                <w:color w:val="000000"/>
                <w:kern w:val="0"/>
                <w:sz w:val="22"/>
                <w:szCs w:val="22"/>
              </w:rPr>
            </w:pPr>
          </w:p>
        </w:tc>
        <w:tc>
          <w:tcPr>
            <w:tcW w:w="794" w:type="dxa"/>
            <w:tcBorders>
              <w:top w:val="nil"/>
              <w:left w:val="nil"/>
              <w:bottom w:val="single" w:color="auto" w:sz="4" w:space="0"/>
              <w:right w:val="single" w:color="auto" w:sz="4" w:space="0"/>
            </w:tcBorders>
            <w:vAlign w:val="center"/>
          </w:tcPr>
          <w:p w14:paraId="1BD92D43">
            <w:pPr>
              <w:widowControl/>
              <w:jc w:val="center"/>
              <w:rPr>
                <w:rFonts w:ascii="宋体" w:hAnsi="宋体" w:cs="宋体"/>
                <w:color w:val="000000"/>
                <w:kern w:val="0"/>
                <w:sz w:val="22"/>
                <w:szCs w:val="22"/>
              </w:rPr>
            </w:pPr>
          </w:p>
        </w:tc>
      </w:tr>
      <w:tr w14:paraId="09582CAC">
        <w:tblPrEx>
          <w:tblCellMar>
            <w:top w:w="0" w:type="dxa"/>
            <w:left w:w="108" w:type="dxa"/>
            <w:bottom w:w="0" w:type="dxa"/>
            <w:right w:w="108" w:type="dxa"/>
          </w:tblCellMar>
        </w:tblPrEx>
        <w:trPr>
          <w:trHeight w:val="270" w:hRule="atLeast"/>
        </w:trPr>
        <w:tc>
          <w:tcPr>
            <w:tcW w:w="574" w:type="dxa"/>
            <w:tcBorders>
              <w:top w:val="nil"/>
              <w:left w:val="single" w:color="auto" w:sz="4" w:space="0"/>
              <w:bottom w:val="single" w:color="auto" w:sz="4" w:space="0"/>
              <w:right w:val="single" w:color="auto" w:sz="4" w:space="0"/>
            </w:tcBorders>
            <w:vAlign w:val="center"/>
          </w:tcPr>
          <w:p w14:paraId="67AE3C9E">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121" w:type="dxa"/>
            <w:tcBorders>
              <w:top w:val="nil"/>
              <w:left w:val="nil"/>
              <w:bottom w:val="single" w:color="auto" w:sz="4" w:space="0"/>
              <w:right w:val="single" w:color="auto" w:sz="4" w:space="0"/>
            </w:tcBorders>
            <w:vAlign w:val="center"/>
          </w:tcPr>
          <w:p w14:paraId="35E31D57">
            <w:pPr>
              <w:widowControl/>
              <w:jc w:val="center"/>
              <w:rPr>
                <w:rFonts w:ascii="宋体" w:hAnsi="宋体" w:cs="宋体"/>
                <w:color w:val="000000"/>
                <w:kern w:val="0"/>
                <w:sz w:val="22"/>
                <w:szCs w:val="22"/>
              </w:rPr>
            </w:pPr>
          </w:p>
        </w:tc>
        <w:tc>
          <w:tcPr>
            <w:tcW w:w="767" w:type="dxa"/>
            <w:tcBorders>
              <w:top w:val="nil"/>
              <w:left w:val="nil"/>
              <w:bottom w:val="single" w:color="auto" w:sz="4" w:space="0"/>
              <w:right w:val="single" w:color="auto" w:sz="4" w:space="0"/>
            </w:tcBorders>
            <w:vAlign w:val="center"/>
          </w:tcPr>
          <w:p w14:paraId="48841A9B">
            <w:pPr>
              <w:widowControl/>
              <w:jc w:val="center"/>
              <w:rPr>
                <w:rFonts w:ascii="宋体" w:hAnsi="宋体" w:cs="宋体"/>
                <w:color w:val="000000"/>
                <w:kern w:val="0"/>
                <w:sz w:val="22"/>
                <w:szCs w:val="22"/>
              </w:rPr>
            </w:pPr>
          </w:p>
        </w:tc>
        <w:tc>
          <w:tcPr>
            <w:tcW w:w="1090" w:type="dxa"/>
            <w:tcBorders>
              <w:top w:val="nil"/>
              <w:left w:val="nil"/>
              <w:bottom w:val="single" w:color="auto" w:sz="4" w:space="0"/>
              <w:right w:val="single" w:color="auto" w:sz="4" w:space="0"/>
            </w:tcBorders>
            <w:vAlign w:val="center"/>
          </w:tcPr>
          <w:p w14:paraId="331C171B">
            <w:pPr>
              <w:widowControl/>
              <w:jc w:val="center"/>
              <w:rPr>
                <w:rFonts w:ascii="宋体" w:hAnsi="宋体" w:cs="宋体"/>
                <w:color w:val="000000"/>
                <w:kern w:val="0"/>
                <w:sz w:val="22"/>
                <w:szCs w:val="22"/>
              </w:rPr>
            </w:pPr>
          </w:p>
        </w:tc>
        <w:tc>
          <w:tcPr>
            <w:tcW w:w="1719" w:type="dxa"/>
            <w:tcBorders>
              <w:top w:val="nil"/>
              <w:left w:val="nil"/>
              <w:bottom w:val="single" w:color="auto" w:sz="4" w:space="0"/>
              <w:right w:val="single" w:color="auto" w:sz="4" w:space="0"/>
            </w:tcBorders>
            <w:vAlign w:val="center"/>
          </w:tcPr>
          <w:p w14:paraId="2D8DC155">
            <w:pPr>
              <w:widowControl/>
              <w:jc w:val="center"/>
              <w:rPr>
                <w:rFonts w:ascii="宋体" w:hAnsi="宋体" w:cs="宋体"/>
                <w:color w:val="000000"/>
                <w:kern w:val="0"/>
                <w:sz w:val="22"/>
                <w:szCs w:val="22"/>
              </w:rPr>
            </w:pPr>
          </w:p>
        </w:tc>
        <w:tc>
          <w:tcPr>
            <w:tcW w:w="1090" w:type="dxa"/>
            <w:tcBorders>
              <w:top w:val="nil"/>
              <w:left w:val="nil"/>
              <w:bottom w:val="single" w:color="auto" w:sz="4" w:space="0"/>
              <w:right w:val="single" w:color="auto" w:sz="4" w:space="0"/>
            </w:tcBorders>
            <w:vAlign w:val="center"/>
          </w:tcPr>
          <w:p w14:paraId="3859A13C">
            <w:pPr>
              <w:widowControl/>
              <w:jc w:val="center"/>
              <w:rPr>
                <w:rFonts w:ascii="宋体" w:hAnsi="宋体" w:cs="宋体"/>
                <w:color w:val="000000"/>
                <w:kern w:val="0"/>
                <w:sz w:val="22"/>
                <w:szCs w:val="22"/>
              </w:rPr>
            </w:pPr>
          </w:p>
        </w:tc>
        <w:tc>
          <w:tcPr>
            <w:tcW w:w="927" w:type="dxa"/>
            <w:tcBorders>
              <w:top w:val="nil"/>
              <w:left w:val="nil"/>
              <w:bottom w:val="single" w:color="auto" w:sz="4" w:space="0"/>
              <w:right w:val="single" w:color="auto" w:sz="4" w:space="0"/>
            </w:tcBorders>
            <w:vAlign w:val="center"/>
          </w:tcPr>
          <w:p w14:paraId="2D5E75BD">
            <w:pPr>
              <w:widowControl/>
              <w:jc w:val="center"/>
              <w:rPr>
                <w:rFonts w:ascii="宋体" w:hAnsi="宋体" w:cs="宋体"/>
                <w:color w:val="000000"/>
                <w:kern w:val="0"/>
                <w:sz w:val="22"/>
                <w:szCs w:val="22"/>
              </w:rPr>
            </w:pPr>
          </w:p>
        </w:tc>
        <w:tc>
          <w:tcPr>
            <w:tcW w:w="1248" w:type="dxa"/>
            <w:tcBorders>
              <w:top w:val="nil"/>
              <w:left w:val="nil"/>
              <w:bottom w:val="single" w:color="auto" w:sz="4" w:space="0"/>
              <w:right w:val="single" w:color="auto" w:sz="4" w:space="0"/>
            </w:tcBorders>
            <w:vAlign w:val="center"/>
          </w:tcPr>
          <w:p w14:paraId="04F7374C">
            <w:pPr>
              <w:widowControl/>
              <w:jc w:val="center"/>
              <w:rPr>
                <w:rFonts w:ascii="宋体" w:hAnsi="宋体" w:cs="宋体"/>
                <w:color w:val="000000"/>
                <w:kern w:val="0"/>
                <w:sz w:val="22"/>
                <w:szCs w:val="22"/>
              </w:rPr>
            </w:pPr>
          </w:p>
        </w:tc>
        <w:tc>
          <w:tcPr>
            <w:tcW w:w="1090" w:type="dxa"/>
            <w:tcBorders>
              <w:top w:val="nil"/>
              <w:left w:val="nil"/>
              <w:bottom w:val="single" w:color="auto" w:sz="4" w:space="0"/>
              <w:right w:val="single" w:color="auto" w:sz="4" w:space="0"/>
            </w:tcBorders>
            <w:vAlign w:val="center"/>
          </w:tcPr>
          <w:p w14:paraId="4581FE62">
            <w:pPr>
              <w:widowControl/>
              <w:jc w:val="center"/>
              <w:rPr>
                <w:rFonts w:ascii="宋体" w:hAnsi="宋体" w:cs="宋体"/>
                <w:color w:val="000000"/>
                <w:kern w:val="0"/>
                <w:sz w:val="22"/>
                <w:szCs w:val="22"/>
              </w:rPr>
            </w:pPr>
          </w:p>
        </w:tc>
        <w:tc>
          <w:tcPr>
            <w:tcW w:w="794" w:type="dxa"/>
            <w:tcBorders>
              <w:top w:val="nil"/>
              <w:left w:val="nil"/>
              <w:bottom w:val="single" w:color="auto" w:sz="4" w:space="0"/>
              <w:right w:val="single" w:color="auto" w:sz="4" w:space="0"/>
            </w:tcBorders>
            <w:vAlign w:val="center"/>
          </w:tcPr>
          <w:p w14:paraId="3D0BA5E8">
            <w:pPr>
              <w:widowControl/>
              <w:jc w:val="center"/>
              <w:rPr>
                <w:rFonts w:ascii="宋体" w:hAnsi="宋体" w:cs="宋体"/>
                <w:color w:val="000000"/>
                <w:kern w:val="0"/>
                <w:sz w:val="22"/>
                <w:szCs w:val="22"/>
              </w:rPr>
            </w:pPr>
          </w:p>
        </w:tc>
      </w:tr>
      <w:tr w14:paraId="439D2C04">
        <w:tblPrEx>
          <w:tblCellMar>
            <w:top w:w="0" w:type="dxa"/>
            <w:left w:w="108" w:type="dxa"/>
            <w:bottom w:w="0" w:type="dxa"/>
            <w:right w:w="108" w:type="dxa"/>
          </w:tblCellMar>
        </w:tblPrEx>
        <w:trPr>
          <w:trHeight w:val="270" w:hRule="atLeast"/>
        </w:trPr>
        <w:tc>
          <w:tcPr>
            <w:tcW w:w="574" w:type="dxa"/>
            <w:tcBorders>
              <w:top w:val="nil"/>
              <w:left w:val="single" w:color="auto" w:sz="4" w:space="0"/>
              <w:bottom w:val="single" w:color="auto" w:sz="4" w:space="0"/>
              <w:right w:val="single" w:color="auto" w:sz="4" w:space="0"/>
            </w:tcBorders>
            <w:vAlign w:val="center"/>
          </w:tcPr>
          <w:p w14:paraId="2CA2D1E1">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121" w:type="dxa"/>
            <w:tcBorders>
              <w:top w:val="nil"/>
              <w:left w:val="nil"/>
              <w:bottom w:val="single" w:color="auto" w:sz="4" w:space="0"/>
              <w:right w:val="single" w:color="auto" w:sz="4" w:space="0"/>
            </w:tcBorders>
            <w:vAlign w:val="center"/>
          </w:tcPr>
          <w:p w14:paraId="79BDB115">
            <w:pPr>
              <w:widowControl/>
              <w:jc w:val="center"/>
              <w:rPr>
                <w:rFonts w:ascii="宋体" w:hAnsi="宋体" w:cs="宋体"/>
                <w:color w:val="000000"/>
                <w:kern w:val="0"/>
                <w:sz w:val="22"/>
                <w:szCs w:val="22"/>
              </w:rPr>
            </w:pPr>
          </w:p>
        </w:tc>
        <w:tc>
          <w:tcPr>
            <w:tcW w:w="767" w:type="dxa"/>
            <w:tcBorders>
              <w:top w:val="nil"/>
              <w:left w:val="nil"/>
              <w:bottom w:val="single" w:color="auto" w:sz="4" w:space="0"/>
              <w:right w:val="single" w:color="auto" w:sz="4" w:space="0"/>
            </w:tcBorders>
            <w:vAlign w:val="center"/>
          </w:tcPr>
          <w:p w14:paraId="65B1C614">
            <w:pPr>
              <w:widowControl/>
              <w:jc w:val="center"/>
              <w:rPr>
                <w:rFonts w:ascii="宋体" w:hAnsi="宋体" w:cs="宋体"/>
                <w:color w:val="000000"/>
                <w:kern w:val="0"/>
                <w:sz w:val="22"/>
                <w:szCs w:val="22"/>
              </w:rPr>
            </w:pPr>
          </w:p>
        </w:tc>
        <w:tc>
          <w:tcPr>
            <w:tcW w:w="1090" w:type="dxa"/>
            <w:tcBorders>
              <w:top w:val="nil"/>
              <w:left w:val="nil"/>
              <w:bottom w:val="single" w:color="auto" w:sz="4" w:space="0"/>
              <w:right w:val="single" w:color="auto" w:sz="4" w:space="0"/>
            </w:tcBorders>
            <w:vAlign w:val="center"/>
          </w:tcPr>
          <w:p w14:paraId="04559F5D">
            <w:pPr>
              <w:widowControl/>
              <w:jc w:val="center"/>
              <w:rPr>
                <w:rFonts w:ascii="宋体" w:hAnsi="宋体" w:cs="宋体"/>
                <w:color w:val="000000"/>
                <w:kern w:val="0"/>
                <w:sz w:val="22"/>
                <w:szCs w:val="22"/>
              </w:rPr>
            </w:pPr>
          </w:p>
        </w:tc>
        <w:tc>
          <w:tcPr>
            <w:tcW w:w="1719" w:type="dxa"/>
            <w:tcBorders>
              <w:top w:val="nil"/>
              <w:left w:val="nil"/>
              <w:bottom w:val="single" w:color="auto" w:sz="4" w:space="0"/>
              <w:right w:val="single" w:color="auto" w:sz="4" w:space="0"/>
            </w:tcBorders>
            <w:vAlign w:val="center"/>
          </w:tcPr>
          <w:p w14:paraId="186F7D17">
            <w:pPr>
              <w:widowControl/>
              <w:jc w:val="center"/>
              <w:rPr>
                <w:rFonts w:ascii="宋体" w:hAnsi="宋体" w:cs="宋体"/>
                <w:color w:val="000000"/>
                <w:kern w:val="0"/>
                <w:sz w:val="22"/>
                <w:szCs w:val="22"/>
              </w:rPr>
            </w:pPr>
          </w:p>
        </w:tc>
        <w:tc>
          <w:tcPr>
            <w:tcW w:w="1090" w:type="dxa"/>
            <w:tcBorders>
              <w:top w:val="nil"/>
              <w:left w:val="nil"/>
              <w:bottom w:val="single" w:color="auto" w:sz="4" w:space="0"/>
              <w:right w:val="single" w:color="auto" w:sz="4" w:space="0"/>
            </w:tcBorders>
            <w:vAlign w:val="center"/>
          </w:tcPr>
          <w:p w14:paraId="2A484A2C">
            <w:pPr>
              <w:widowControl/>
              <w:jc w:val="center"/>
              <w:rPr>
                <w:rFonts w:ascii="宋体" w:hAnsi="宋体" w:cs="宋体"/>
                <w:color w:val="000000"/>
                <w:kern w:val="0"/>
                <w:sz w:val="22"/>
                <w:szCs w:val="22"/>
              </w:rPr>
            </w:pPr>
          </w:p>
        </w:tc>
        <w:tc>
          <w:tcPr>
            <w:tcW w:w="927" w:type="dxa"/>
            <w:tcBorders>
              <w:top w:val="nil"/>
              <w:left w:val="nil"/>
              <w:bottom w:val="single" w:color="auto" w:sz="4" w:space="0"/>
              <w:right w:val="single" w:color="auto" w:sz="4" w:space="0"/>
            </w:tcBorders>
            <w:vAlign w:val="center"/>
          </w:tcPr>
          <w:p w14:paraId="07F7328A">
            <w:pPr>
              <w:widowControl/>
              <w:jc w:val="center"/>
              <w:rPr>
                <w:rFonts w:ascii="宋体" w:hAnsi="宋体" w:cs="宋体"/>
                <w:color w:val="000000"/>
                <w:kern w:val="0"/>
                <w:sz w:val="22"/>
                <w:szCs w:val="22"/>
              </w:rPr>
            </w:pPr>
          </w:p>
        </w:tc>
        <w:tc>
          <w:tcPr>
            <w:tcW w:w="1248" w:type="dxa"/>
            <w:tcBorders>
              <w:top w:val="nil"/>
              <w:left w:val="nil"/>
              <w:bottom w:val="single" w:color="auto" w:sz="4" w:space="0"/>
              <w:right w:val="single" w:color="auto" w:sz="4" w:space="0"/>
            </w:tcBorders>
            <w:vAlign w:val="center"/>
          </w:tcPr>
          <w:p w14:paraId="0705C475">
            <w:pPr>
              <w:widowControl/>
              <w:jc w:val="center"/>
              <w:rPr>
                <w:rFonts w:ascii="宋体" w:hAnsi="宋体" w:cs="宋体"/>
                <w:color w:val="000000"/>
                <w:kern w:val="0"/>
                <w:sz w:val="22"/>
                <w:szCs w:val="22"/>
              </w:rPr>
            </w:pPr>
          </w:p>
        </w:tc>
        <w:tc>
          <w:tcPr>
            <w:tcW w:w="1090" w:type="dxa"/>
            <w:tcBorders>
              <w:top w:val="nil"/>
              <w:left w:val="nil"/>
              <w:bottom w:val="single" w:color="auto" w:sz="4" w:space="0"/>
              <w:right w:val="single" w:color="auto" w:sz="4" w:space="0"/>
            </w:tcBorders>
            <w:vAlign w:val="center"/>
          </w:tcPr>
          <w:p w14:paraId="714E79F6">
            <w:pPr>
              <w:widowControl/>
              <w:jc w:val="center"/>
              <w:rPr>
                <w:rFonts w:ascii="宋体" w:hAnsi="宋体" w:cs="宋体"/>
                <w:color w:val="000000"/>
                <w:kern w:val="0"/>
                <w:sz w:val="22"/>
                <w:szCs w:val="22"/>
              </w:rPr>
            </w:pPr>
          </w:p>
        </w:tc>
        <w:tc>
          <w:tcPr>
            <w:tcW w:w="794" w:type="dxa"/>
            <w:tcBorders>
              <w:top w:val="nil"/>
              <w:left w:val="nil"/>
              <w:bottom w:val="single" w:color="auto" w:sz="4" w:space="0"/>
              <w:right w:val="single" w:color="auto" w:sz="4" w:space="0"/>
            </w:tcBorders>
            <w:vAlign w:val="center"/>
          </w:tcPr>
          <w:p w14:paraId="5AC1AE09">
            <w:pPr>
              <w:widowControl/>
              <w:jc w:val="center"/>
              <w:rPr>
                <w:rFonts w:ascii="宋体" w:hAnsi="宋体" w:cs="宋体"/>
                <w:color w:val="000000"/>
                <w:kern w:val="0"/>
                <w:sz w:val="22"/>
                <w:szCs w:val="22"/>
              </w:rPr>
            </w:pPr>
          </w:p>
        </w:tc>
      </w:tr>
      <w:tr w14:paraId="1338C5E5">
        <w:tblPrEx>
          <w:tblCellMar>
            <w:top w:w="0" w:type="dxa"/>
            <w:left w:w="108" w:type="dxa"/>
            <w:bottom w:w="0" w:type="dxa"/>
            <w:right w:w="108" w:type="dxa"/>
          </w:tblCellMar>
        </w:tblPrEx>
        <w:trPr>
          <w:trHeight w:val="270" w:hRule="atLeast"/>
        </w:trPr>
        <w:tc>
          <w:tcPr>
            <w:tcW w:w="574" w:type="dxa"/>
            <w:tcBorders>
              <w:top w:val="nil"/>
              <w:left w:val="single" w:color="auto" w:sz="4" w:space="0"/>
              <w:bottom w:val="single" w:color="auto" w:sz="4" w:space="0"/>
              <w:right w:val="single" w:color="auto" w:sz="4" w:space="0"/>
            </w:tcBorders>
            <w:vAlign w:val="center"/>
          </w:tcPr>
          <w:p w14:paraId="183A4636">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121" w:type="dxa"/>
            <w:tcBorders>
              <w:top w:val="nil"/>
              <w:left w:val="nil"/>
              <w:bottom w:val="single" w:color="auto" w:sz="4" w:space="0"/>
              <w:right w:val="single" w:color="auto" w:sz="4" w:space="0"/>
            </w:tcBorders>
            <w:vAlign w:val="center"/>
          </w:tcPr>
          <w:p w14:paraId="6F5EBE38">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8725" w:type="dxa"/>
            <w:gridSpan w:val="8"/>
            <w:tcBorders>
              <w:top w:val="nil"/>
              <w:left w:val="nil"/>
              <w:bottom w:val="single" w:color="auto" w:sz="4" w:space="0"/>
              <w:right w:val="single" w:color="auto" w:sz="4" w:space="0"/>
            </w:tcBorders>
            <w:vAlign w:val="center"/>
          </w:tcPr>
          <w:p w14:paraId="5E697923">
            <w:pPr>
              <w:widowControl/>
              <w:jc w:val="center"/>
              <w:rPr>
                <w:rFonts w:ascii="宋体" w:hAnsi="宋体" w:cs="宋体"/>
                <w:color w:val="000000"/>
                <w:kern w:val="0"/>
                <w:sz w:val="22"/>
                <w:szCs w:val="22"/>
              </w:rPr>
            </w:pPr>
            <w:r>
              <w:rPr>
                <w:rFonts w:hint="eastAsia" w:ascii="宋体" w:hAnsi="宋体" w:cs="宋体"/>
                <w:color w:val="000000"/>
                <w:kern w:val="0"/>
                <w:sz w:val="22"/>
                <w:szCs w:val="22"/>
              </w:rPr>
              <w:t>大写：            （</w:t>
            </w:r>
            <w:r>
              <w:rPr>
                <w:rFonts w:hint="eastAsia" w:ascii="宋体" w:hAnsi="宋体"/>
                <w:color w:val="000000"/>
                <w:sz w:val="24"/>
              </w:rPr>
              <w:t>小写：￥0</w:t>
            </w:r>
            <w:r>
              <w:rPr>
                <w:rFonts w:ascii="宋体" w:hAnsi="宋体" w:cs="宋体"/>
                <w:color w:val="000000"/>
                <w:kern w:val="0"/>
                <w:sz w:val="24"/>
              </w:rPr>
              <w:t>00,000.00</w:t>
            </w:r>
            <w:r>
              <w:rPr>
                <w:rFonts w:hint="eastAsia" w:ascii="宋体" w:hAnsi="宋体" w:cs="宋体"/>
                <w:color w:val="000000"/>
                <w:kern w:val="0"/>
                <w:sz w:val="22"/>
                <w:szCs w:val="22"/>
              </w:rPr>
              <w:t>）</w:t>
            </w:r>
          </w:p>
        </w:tc>
      </w:tr>
    </w:tbl>
    <w:p w14:paraId="250C5966">
      <w:pPr>
        <w:adjustRightInd w:val="0"/>
        <w:spacing w:line="400" w:lineRule="exact"/>
        <w:rPr>
          <w:rFonts w:ascii="宋体" w:hAnsi="宋体"/>
          <w:b/>
          <w:bCs/>
          <w:sz w:val="28"/>
          <w:szCs w:val="28"/>
        </w:rPr>
      </w:pPr>
    </w:p>
    <w:p w14:paraId="2DA1C02B">
      <w:pPr>
        <w:adjustRightInd w:val="0"/>
        <w:spacing w:line="400" w:lineRule="exact"/>
        <w:rPr>
          <w:rFonts w:ascii="宋体" w:hAnsi="宋体"/>
          <w:b/>
          <w:bCs/>
          <w:sz w:val="28"/>
          <w:szCs w:val="28"/>
        </w:rPr>
      </w:pPr>
    </w:p>
    <w:tbl>
      <w:tblPr>
        <w:tblStyle w:val="16"/>
        <w:tblW w:w="0" w:type="auto"/>
        <w:tblInd w:w="0" w:type="dxa"/>
        <w:tblLayout w:type="fixed"/>
        <w:tblCellMar>
          <w:top w:w="0" w:type="dxa"/>
          <w:left w:w="108" w:type="dxa"/>
          <w:bottom w:w="0" w:type="dxa"/>
          <w:right w:w="108" w:type="dxa"/>
        </w:tblCellMar>
      </w:tblPr>
      <w:tblGrid>
        <w:gridCol w:w="636"/>
        <w:gridCol w:w="1123"/>
        <w:gridCol w:w="1227"/>
        <w:gridCol w:w="1017"/>
        <w:gridCol w:w="1609"/>
        <w:gridCol w:w="1609"/>
        <w:gridCol w:w="913"/>
        <w:gridCol w:w="1144"/>
        <w:gridCol w:w="1142"/>
      </w:tblGrid>
      <w:tr w14:paraId="55609247">
        <w:tblPrEx>
          <w:tblCellMar>
            <w:top w:w="0" w:type="dxa"/>
            <w:left w:w="108" w:type="dxa"/>
            <w:bottom w:w="0" w:type="dxa"/>
            <w:right w:w="108" w:type="dxa"/>
          </w:tblCellMar>
        </w:tblPrEx>
        <w:trPr>
          <w:trHeight w:val="270" w:hRule="atLeast"/>
        </w:trPr>
        <w:tc>
          <w:tcPr>
            <w:tcW w:w="10420" w:type="dxa"/>
            <w:gridSpan w:val="9"/>
            <w:tcBorders>
              <w:top w:val="nil"/>
              <w:left w:val="nil"/>
              <w:bottom w:val="single" w:color="auto" w:sz="4" w:space="0"/>
              <w:right w:val="nil"/>
            </w:tcBorders>
            <w:vAlign w:val="center"/>
          </w:tcPr>
          <w:p w14:paraId="4B3D8D0D">
            <w:pPr>
              <w:adjustRightInd w:val="0"/>
              <w:spacing w:line="400" w:lineRule="exact"/>
              <w:ind w:firstLine="475" w:firstLineChars="197"/>
              <w:jc w:val="left"/>
              <w:rPr>
                <w:rFonts w:ascii="宋体" w:hAnsi="宋体" w:cs="宋体"/>
                <w:color w:val="000000"/>
                <w:kern w:val="0"/>
                <w:sz w:val="22"/>
                <w:szCs w:val="22"/>
              </w:rPr>
            </w:pPr>
            <w:r>
              <w:rPr>
                <w:rFonts w:hint="eastAsia" w:ascii="宋体" w:hAnsi="宋体"/>
                <w:b/>
                <w:bCs/>
                <w:sz w:val="24"/>
              </w:rPr>
              <w:t>（二）技术文件格式</w:t>
            </w:r>
          </w:p>
        </w:tc>
      </w:tr>
      <w:tr w14:paraId="276C9F1B">
        <w:tblPrEx>
          <w:tblCellMar>
            <w:top w:w="0" w:type="dxa"/>
            <w:left w:w="108" w:type="dxa"/>
            <w:bottom w:w="0" w:type="dxa"/>
            <w:right w:w="108" w:type="dxa"/>
          </w:tblCellMar>
        </w:tblPrEx>
        <w:trPr>
          <w:trHeight w:val="270" w:hRule="atLeast"/>
        </w:trPr>
        <w:tc>
          <w:tcPr>
            <w:tcW w:w="636" w:type="dxa"/>
            <w:tcBorders>
              <w:top w:val="nil"/>
              <w:left w:val="single" w:color="auto" w:sz="4" w:space="0"/>
              <w:bottom w:val="single" w:color="auto" w:sz="4" w:space="0"/>
              <w:right w:val="single" w:color="auto" w:sz="4" w:space="0"/>
            </w:tcBorders>
            <w:vAlign w:val="center"/>
          </w:tcPr>
          <w:p w14:paraId="530E8BCB">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123" w:type="dxa"/>
            <w:tcBorders>
              <w:top w:val="nil"/>
              <w:left w:val="nil"/>
              <w:bottom w:val="single" w:color="auto" w:sz="4" w:space="0"/>
              <w:right w:val="single" w:color="auto" w:sz="4" w:space="0"/>
            </w:tcBorders>
            <w:vAlign w:val="center"/>
          </w:tcPr>
          <w:p w14:paraId="19D9BB87">
            <w:pPr>
              <w:widowControl/>
              <w:jc w:val="center"/>
              <w:rPr>
                <w:rFonts w:ascii="宋体" w:hAnsi="宋体" w:cs="宋体"/>
                <w:color w:val="000000"/>
                <w:kern w:val="0"/>
                <w:sz w:val="18"/>
                <w:szCs w:val="18"/>
              </w:rPr>
            </w:pPr>
            <w:r>
              <w:rPr>
                <w:rFonts w:hint="eastAsia" w:ascii="宋体" w:hAnsi="宋体" w:cs="宋体"/>
                <w:color w:val="000000"/>
                <w:kern w:val="0"/>
                <w:sz w:val="18"/>
                <w:szCs w:val="18"/>
              </w:rPr>
              <w:t>产品名称</w:t>
            </w:r>
          </w:p>
        </w:tc>
        <w:tc>
          <w:tcPr>
            <w:tcW w:w="1227" w:type="dxa"/>
            <w:tcBorders>
              <w:top w:val="nil"/>
              <w:left w:val="nil"/>
              <w:bottom w:val="single" w:color="auto" w:sz="4" w:space="0"/>
              <w:right w:val="single" w:color="auto" w:sz="4" w:space="0"/>
            </w:tcBorders>
            <w:vAlign w:val="center"/>
          </w:tcPr>
          <w:p w14:paraId="3A408BBC">
            <w:pPr>
              <w:widowControl/>
              <w:jc w:val="center"/>
              <w:rPr>
                <w:rFonts w:ascii="宋体" w:hAnsi="宋体" w:cs="宋体"/>
                <w:color w:val="000000"/>
                <w:kern w:val="0"/>
                <w:sz w:val="18"/>
                <w:szCs w:val="18"/>
              </w:rPr>
            </w:pPr>
            <w:r>
              <w:rPr>
                <w:rFonts w:hint="eastAsia" w:ascii="宋体" w:hAnsi="宋体" w:cs="宋体"/>
                <w:color w:val="000000"/>
                <w:kern w:val="0"/>
                <w:sz w:val="18"/>
                <w:szCs w:val="18"/>
              </w:rPr>
              <w:t>品牌</w:t>
            </w:r>
          </w:p>
        </w:tc>
        <w:tc>
          <w:tcPr>
            <w:tcW w:w="1017" w:type="dxa"/>
            <w:tcBorders>
              <w:top w:val="nil"/>
              <w:left w:val="nil"/>
              <w:bottom w:val="single" w:color="auto" w:sz="4" w:space="0"/>
              <w:right w:val="single" w:color="auto" w:sz="4" w:space="0"/>
            </w:tcBorders>
            <w:vAlign w:val="center"/>
          </w:tcPr>
          <w:p w14:paraId="5E9C25DA">
            <w:pPr>
              <w:widowControl/>
              <w:jc w:val="center"/>
              <w:rPr>
                <w:rFonts w:ascii="宋体" w:hAnsi="宋体" w:cs="宋体"/>
                <w:color w:val="000000"/>
                <w:kern w:val="0"/>
                <w:sz w:val="18"/>
                <w:szCs w:val="18"/>
              </w:rPr>
            </w:pPr>
            <w:r>
              <w:rPr>
                <w:rFonts w:hint="eastAsia" w:ascii="宋体" w:hAnsi="宋体" w:cs="宋体"/>
                <w:color w:val="000000"/>
                <w:kern w:val="0"/>
                <w:sz w:val="18"/>
                <w:szCs w:val="18"/>
              </w:rPr>
              <w:t>规格型号</w:t>
            </w:r>
          </w:p>
        </w:tc>
        <w:tc>
          <w:tcPr>
            <w:tcW w:w="1609" w:type="dxa"/>
            <w:tcBorders>
              <w:top w:val="nil"/>
              <w:left w:val="nil"/>
              <w:bottom w:val="single" w:color="auto" w:sz="4" w:space="0"/>
              <w:right w:val="single" w:color="auto" w:sz="4" w:space="0"/>
            </w:tcBorders>
            <w:vAlign w:val="center"/>
          </w:tcPr>
          <w:p w14:paraId="2F83512B">
            <w:pPr>
              <w:widowControl/>
              <w:jc w:val="center"/>
              <w:rPr>
                <w:rFonts w:ascii="宋体" w:hAnsi="宋体" w:cs="宋体"/>
                <w:color w:val="000000"/>
                <w:kern w:val="0"/>
                <w:sz w:val="18"/>
                <w:szCs w:val="18"/>
              </w:rPr>
            </w:pPr>
            <w:r>
              <w:rPr>
                <w:rFonts w:hint="eastAsia" w:ascii="宋体" w:hAnsi="宋体" w:cs="宋体"/>
                <w:color w:val="000000"/>
                <w:kern w:val="0"/>
                <w:sz w:val="18"/>
                <w:szCs w:val="18"/>
              </w:rPr>
              <w:t>招标参考参数</w:t>
            </w:r>
          </w:p>
        </w:tc>
        <w:tc>
          <w:tcPr>
            <w:tcW w:w="1609" w:type="dxa"/>
            <w:tcBorders>
              <w:top w:val="nil"/>
              <w:left w:val="nil"/>
              <w:bottom w:val="single" w:color="auto" w:sz="4" w:space="0"/>
              <w:right w:val="single" w:color="auto" w:sz="4" w:space="0"/>
            </w:tcBorders>
            <w:vAlign w:val="center"/>
          </w:tcPr>
          <w:p w14:paraId="6A6257B2">
            <w:pPr>
              <w:widowControl/>
              <w:jc w:val="center"/>
              <w:rPr>
                <w:rFonts w:ascii="宋体" w:hAnsi="宋体" w:cs="宋体"/>
                <w:color w:val="000000"/>
                <w:kern w:val="0"/>
                <w:sz w:val="18"/>
                <w:szCs w:val="18"/>
              </w:rPr>
            </w:pPr>
            <w:r>
              <w:rPr>
                <w:rFonts w:hint="eastAsia" w:ascii="宋体" w:hAnsi="宋体" w:cs="宋体"/>
                <w:color w:val="000000"/>
                <w:kern w:val="0"/>
                <w:sz w:val="18"/>
                <w:szCs w:val="18"/>
              </w:rPr>
              <w:t>投标产品参数</w:t>
            </w:r>
          </w:p>
        </w:tc>
        <w:tc>
          <w:tcPr>
            <w:tcW w:w="913" w:type="dxa"/>
            <w:tcBorders>
              <w:top w:val="nil"/>
              <w:left w:val="nil"/>
              <w:bottom w:val="single" w:color="auto" w:sz="4" w:space="0"/>
              <w:right w:val="single" w:color="auto" w:sz="4" w:space="0"/>
            </w:tcBorders>
            <w:vAlign w:val="center"/>
          </w:tcPr>
          <w:p w14:paraId="678292B1">
            <w:pPr>
              <w:widowControl/>
              <w:jc w:val="center"/>
              <w:rPr>
                <w:rFonts w:ascii="宋体" w:hAnsi="宋体" w:cs="宋体"/>
                <w:color w:val="000000"/>
                <w:kern w:val="0"/>
                <w:sz w:val="18"/>
                <w:szCs w:val="18"/>
              </w:rPr>
            </w:pPr>
            <w:r>
              <w:rPr>
                <w:rFonts w:hint="eastAsia" w:ascii="宋体" w:hAnsi="宋体" w:cs="宋体"/>
                <w:color w:val="000000"/>
                <w:kern w:val="0"/>
                <w:sz w:val="18"/>
                <w:szCs w:val="18"/>
              </w:rPr>
              <w:t>偏离</w:t>
            </w:r>
          </w:p>
        </w:tc>
        <w:tc>
          <w:tcPr>
            <w:tcW w:w="1144" w:type="dxa"/>
            <w:tcBorders>
              <w:top w:val="nil"/>
              <w:left w:val="nil"/>
              <w:bottom w:val="single" w:color="auto" w:sz="4" w:space="0"/>
              <w:right w:val="single" w:color="auto" w:sz="4" w:space="0"/>
            </w:tcBorders>
            <w:vAlign w:val="center"/>
          </w:tcPr>
          <w:p w14:paraId="1A9F5F6C">
            <w:pPr>
              <w:widowControl/>
              <w:jc w:val="center"/>
              <w:rPr>
                <w:rFonts w:ascii="宋体" w:hAnsi="宋体" w:cs="宋体"/>
                <w:color w:val="000000"/>
                <w:kern w:val="0"/>
                <w:sz w:val="18"/>
                <w:szCs w:val="18"/>
              </w:rPr>
            </w:pPr>
            <w:r>
              <w:rPr>
                <w:rFonts w:hint="eastAsia" w:ascii="宋体" w:hAnsi="宋体" w:cs="宋体"/>
                <w:color w:val="000000"/>
                <w:kern w:val="0"/>
                <w:sz w:val="18"/>
                <w:szCs w:val="18"/>
              </w:rPr>
              <w:t>说明</w:t>
            </w:r>
          </w:p>
        </w:tc>
        <w:tc>
          <w:tcPr>
            <w:tcW w:w="1142" w:type="dxa"/>
            <w:tcBorders>
              <w:top w:val="nil"/>
              <w:left w:val="nil"/>
              <w:bottom w:val="single" w:color="auto" w:sz="4" w:space="0"/>
              <w:right w:val="single" w:color="auto" w:sz="4" w:space="0"/>
            </w:tcBorders>
            <w:vAlign w:val="center"/>
          </w:tcPr>
          <w:p w14:paraId="2844AF6A">
            <w:pPr>
              <w:widowControl/>
              <w:jc w:val="center"/>
              <w:rPr>
                <w:rFonts w:ascii="宋体" w:hAnsi="宋体" w:cs="宋体"/>
                <w:color w:val="000000"/>
                <w:kern w:val="0"/>
                <w:sz w:val="18"/>
                <w:szCs w:val="18"/>
              </w:rPr>
            </w:pPr>
            <w:r>
              <w:rPr>
                <w:rFonts w:hint="eastAsia" w:ascii="宋体" w:hAnsi="宋体" w:cs="宋体"/>
                <w:color w:val="000000"/>
                <w:kern w:val="0"/>
                <w:sz w:val="18"/>
                <w:szCs w:val="18"/>
              </w:rPr>
              <w:t>备注</w:t>
            </w:r>
          </w:p>
        </w:tc>
      </w:tr>
      <w:tr w14:paraId="0F48CF50">
        <w:tblPrEx>
          <w:tblCellMar>
            <w:top w:w="0" w:type="dxa"/>
            <w:left w:w="108" w:type="dxa"/>
            <w:bottom w:w="0" w:type="dxa"/>
            <w:right w:w="108" w:type="dxa"/>
          </w:tblCellMar>
        </w:tblPrEx>
        <w:trPr>
          <w:trHeight w:val="270" w:hRule="atLeast"/>
        </w:trPr>
        <w:tc>
          <w:tcPr>
            <w:tcW w:w="636" w:type="dxa"/>
            <w:tcBorders>
              <w:top w:val="nil"/>
              <w:left w:val="single" w:color="auto" w:sz="4" w:space="0"/>
              <w:bottom w:val="single" w:color="auto" w:sz="4" w:space="0"/>
              <w:right w:val="single" w:color="auto" w:sz="4" w:space="0"/>
            </w:tcBorders>
            <w:vAlign w:val="center"/>
          </w:tcPr>
          <w:p w14:paraId="07262A63">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23" w:type="dxa"/>
            <w:tcBorders>
              <w:top w:val="nil"/>
              <w:left w:val="nil"/>
              <w:bottom w:val="single" w:color="auto" w:sz="4" w:space="0"/>
              <w:right w:val="single" w:color="auto" w:sz="4" w:space="0"/>
            </w:tcBorders>
            <w:vAlign w:val="center"/>
          </w:tcPr>
          <w:p w14:paraId="3A925B2B">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7" w:type="dxa"/>
            <w:tcBorders>
              <w:top w:val="nil"/>
              <w:left w:val="nil"/>
              <w:bottom w:val="single" w:color="auto" w:sz="4" w:space="0"/>
              <w:right w:val="single" w:color="auto" w:sz="4" w:space="0"/>
            </w:tcBorders>
            <w:vAlign w:val="center"/>
          </w:tcPr>
          <w:p w14:paraId="74C72888">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17" w:type="dxa"/>
            <w:tcBorders>
              <w:top w:val="nil"/>
              <w:left w:val="nil"/>
              <w:bottom w:val="single" w:color="auto" w:sz="4" w:space="0"/>
              <w:right w:val="single" w:color="auto" w:sz="4" w:space="0"/>
            </w:tcBorders>
            <w:vAlign w:val="center"/>
          </w:tcPr>
          <w:p w14:paraId="4E7F4A4D">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09" w:type="dxa"/>
            <w:tcBorders>
              <w:top w:val="nil"/>
              <w:left w:val="nil"/>
              <w:bottom w:val="single" w:color="auto" w:sz="4" w:space="0"/>
              <w:right w:val="single" w:color="auto" w:sz="4" w:space="0"/>
            </w:tcBorders>
            <w:vAlign w:val="center"/>
          </w:tcPr>
          <w:p w14:paraId="111BADE6">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09" w:type="dxa"/>
            <w:tcBorders>
              <w:top w:val="nil"/>
              <w:left w:val="nil"/>
              <w:bottom w:val="single" w:color="auto" w:sz="4" w:space="0"/>
              <w:right w:val="single" w:color="auto" w:sz="4" w:space="0"/>
            </w:tcBorders>
            <w:vAlign w:val="center"/>
          </w:tcPr>
          <w:p w14:paraId="4DFC3B22">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13" w:type="dxa"/>
            <w:tcBorders>
              <w:top w:val="nil"/>
              <w:left w:val="nil"/>
              <w:bottom w:val="single" w:color="auto" w:sz="4" w:space="0"/>
              <w:right w:val="single" w:color="auto" w:sz="4" w:space="0"/>
            </w:tcBorders>
            <w:vAlign w:val="center"/>
          </w:tcPr>
          <w:p w14:paraId="12DE189D">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44" w:type="dxa"/>
            <w:tcBorders>
              <w:top w:val="nil"/>
              <w:left w:val="nil"/>
              <w:bottom w:val="single" w:color="auto" w:sz="4" w:space="0"/>
              <w:right w:val="single" w:color="auto" w:sz="4" w:space="0"/>
            </w:tcBorders>
            <w:vAlign w:val="center"/>
          </w:tcPr>
          <w:p w14:paraId="2B4CA9E8">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42" w:type="dxa"/>
            <w:tcBorders>
              <w:top w:val="nil"/>
              <w:left w:val="nil"/>
              <w:bottom w:val="single" w:color="auto" w:sz="4" w:space="0"/>
              <w:right w:val="single" w:color="auto" w:sz="4" w:space="0"/>
            </w:tcBorders>
            <w:vAlign w:val="center"/>
          </w:tcPr>
          <w:p w14:paraId="06DA074C">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14:paraId="3797ED4C">
        <w:tblPrEx>
          <w:tblCellMar>
            <w:top w:w="0" w:type="dxa"/>
            <w:left w:w="108" w:type="dxa"/>
            <w:bottom w:w="0" w:type="dxa"/>
            <w:right w:w="108" w:type="dxa"/>
          </w:tblCellMar>
        </w:tblPrEx>
        <w:trPr>
          <w:trHeight w:val="270" w:hRule="atLeast"/>
        </w:trPr>
        <w:tc>
          <w:tcPr>
            <w:tcW w:w="636" w:type="dxa"/>
            <w:tcBorders>
              <w:top w:val="nil"/>
              <w:left w:val="single" w:color="auto" w:sz="4" w:space="0"/>
              <w:bottom w:val="single" w:color="auto" w:sz="4" w:space="0"/>
              <w:right w:val="single" w:color="auto" w:sz="4" w:space="0"/>
            </w:tcBorders>
            <w:vAlign w:val="center"/>
          </w:tcPr>
          <w:p w14:paraId="701E773C">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23" w:type="dxa"/>
            <w:tcBorders>
              <w:top w:val="nil"/>
              <w:left w:val="nil"/>
              <w:bottom w:val="single" w:color="auto" w:sz="4" w:space="0"/>
              <w:right w:val="single" w:color="auto" w:sz="4" w:space="0"/>
            </w:tcBorders>
            <w:vAlign w:val="center"/>
          </w:tcPr>
          <w:p w14:paraId="0C2B8308">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7" w:type="dxa"/>
            <w:tcBorders>
              <w:top w:val="nil"/>
              <w:left w:val="nil"/>
              <w:bottom w:val="single" w:color="auto" w:sz="4" w:space="0"/>
              <w:right w:val="single" w:color="auto" w:sz="4" w:space="0"/>
            </w:tcBorders>
            <w:vAlign w:val="center"/>
          </w:tcPr>
          <w:p w14:paraId="1142ED29">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17" w:type="dxa"/>
            <w:tcBorders>
              <w:top w:val="nil"/>
              <w:left w:val="nil"/>
              <w:bottom w:val="single" w:color="auto" w:sz="4" w:space="0"/>
              <w:right w:val="single" w:color="auto" w:sz="4" w:space="0"/>
            </w:tcBorders>
            <w:vAlign w:val="center"/>
          </w:tcPr>
          <w:p w14:paraId="12ED7616">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09" w:type="dxa"/>
            <w:tcBorders>
              <w:top w:val="nil"/>
              <w:left w:val="nil"/>
              <w:bottom w:val="single" w:color="auto" w:sz="4" w:space="0"/>
              <w:right w:val="single" w:color="auto" w:sz="4" w:space="0"/>
            </w:tcBorders>
            <w:vAlign w:val="center"/>
          </w:tcPr>
          <w:p w14:paraId="71813669">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09" w:type="dxa"/>
            <w:tcBorders>
              <w:top w:val="nil"/>
              <w:left w:val="nil"/>
              <w:bottom w:val="single" w:color="auto" w:sz="4" w:space="0"/>
              <w:right w:val="single" w:color="auto" w:sz="4" w:space="0"/>
            </w:tcBorders>
            <w:vAlign w:val="center"/>
          </w:tcPr>
          <w:p w14:paraId="09E2E721">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13" w:type="dxa"/>
            <w:tcBorders>
              <w:top w:val="nil"/>
              <w:left w:val="nil"/>
              <w:bottom w:val="single" w:color="auto" w:sz="4" w:space="0"/>
              <w:right w:val="single" w:color="auto" w:sz="4" w:space="0"/>
            </w:tcBorders>
            <w:vAlign w:val="center"/>
          </w:tcPr>
          <w:p w14:paraId="1E4C90A1">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44" w:type="dxa"/>
            <w:tcBorders>
              <w:top w:val="nil"/>
              <w:left w:val="nil"/>
              <w:bottom w:val="single" w:color="auto" w:sz="4" w:space="0"/>
              <w:right w:val="single" w:color="auto" w:sz="4" w:space="0"/>
            </w:tcBorders>
            <w:vAlign w:val="center"/>
          </w:tcPr>
          <w:p w14:paraId="59287424">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42" w:type="dxa"/>
            <w:tcBorders>
              <w:top w:val="nil"/>
              <w:left w:val="nil"/>
              <w:bottom w:val="single" w:color="auto" w:sz="4" w:space="0"/>
              <w:right w:val="single" w:color="auto" w:sz="4" w:space="0"/>
            </w:tcBorders>
            <w:vAlign w:val="center"/>
          </w:tcPr>
          <w:p w14:paraId="340B94F1">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14:paraId="1DDA4D10">
        <w:tblPrEx>
          <w:tblCellMar>
            <w:top w:w="0" w:type="dxa"/>
            <w:left w:w="108" w:type="dxa"/>
            <w:bottom w:w="0" w:type="dxa"/>
            <w:right w:w="108" w:type="dxa"/>
          </w:tblCellMar>
        </w:tblPrEx>
        <w:trPr>
          <w:trHeight w:val="270" w:hRule="atLeast"/>
        </w:trPr>
        <w:tc>
          <w:tcPr>
            <w:tcW w:w="636" w:type="dxa"/>
            <w:tcBorders>
              <w:top w:val="nil"/>
              <w:left w:val="single" w:color="auto" w:sz="4" w:space="0"/>
              <w:bottom w:val="single" w:color="auto" w:sz="4" w:space="0"/>
              <w:right w:val="single" w:color="auto" w:sz="4" w:space="0"/>
            </w:tcBorders>
            <w:vAlign w:val="center"/>
          </w:tcPr>
          <w:p w14:paraId="0603A2E8">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23" w:type="dxa"/>
            <w:tcBorders>
              <w:top w:val="nil"/>
              <w:left w:val="nil"/>
              <w:bottom w:val="single" w:color="auto" w:sz="4" w:space="0"/>
              <w:right w:val="single" w:color="auto" w:sz="4" w:space="0"/>
            </w:tcBorders>
            <w:vAlign w:val="center"/>
          </w:tcPr>
          <w:p w14:paraId="178733BB">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7" w:type="dxa"/>
            <w:tcBorders>
              <w:top w:val="nil"/>
              <w:left w:val="nil"/>
              <w:bottom w:val="single" w:color="auto" w:sz="4" w:space="0"/>
              <w:right w:val="single" w:color="auto" w:sz="4" w:space="0"/>
            </w:tcBorders>
            <w:vAlign w:val="center"/>
          </w:tcPr>
          <w:p w14:paraId="79E261B2">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17" w:type="dxa"/>
            <w:tcBorders>
              <w:top w:val="nil"/>
              <w:left w:val="nil"/>
              <w:bottom w:val="single" w:color="auto" w:sz="4" w:space="0"/>
              <w:right w:val="single" w:color="auto" w:sz="4" w:space="0"/>
            </w:tcBorders>
            <w:vAlign w:val="center"/>
          </w:tcPr>
          <w:p w14:paraId="26349EB9">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09" w:type="dxa"/>
            <w:tcBorders>
              <w:top w:val="nil"/>
              <w:left w:val="nil"/>
              <w:bottom w:val="single" w:color="auto" w:sz="4" w:space="0"/>
              <w:right w:val="single" w:color="auto" w:sz="4" w:space="0"/>
            </w:tcBorders>
            <w:vAlign w:val="center"/>
          </w:tcPr>
          <w:p w14:paraId="18EDF18E">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09" w:type="dxa"/>
            <w:tcBorders>
              <w:top w:val="nil"/>
              <w:left w:val="nil"/>
              <w:bottom w:val="single" w:color="auto" w:sz="4" w:space="0"/>
              <w:right w:val="single" w:color="auto" w:sz="4" w:space="0"/>
            </w:tcBorders>
            <w:vAlign w:val="center"/>
          </w:tcPr>
          <w:p w14:paraId="6B6D25DF">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13" w:type="dxa"/>
            <w:tcBorders>
              <w:top w:val="nil"/>
              <w:left w:val="nil"/>
              <w:bottom w:val="single" w:color="auto" w:sz="4" w:space="0"/>
              <w:right w:val="single" w:color="auto" w:sz="4" w:space="0"/>
            </w:tcBorders>
            <w:vAlign w:val="center"/>
          </w:tcPr>
          <w:p w14:paraId="72AAF25F">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44" w:type="dxa"/>
            <w:tcBorders>
              <w:top w:val="nil"/>
              <w:left w:val="nil"/>
              <w:bottom w:val="single" w:color="auto" w:sz="4" w:space="0"/>
              <w:right w:val="single" w:color="auto" w:sz="4" w:space="0"/>
            </w:tcBorders>
            <w:vAlign w:val="center"/>
          </w:tcPr>
          <w:p w14:paraId="1E22EDCE">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42" w:type="dxa"/>
            <w:tcBorders>
              <w:top w:val="nil"/>
              <w:left w:val="nil"/>
              <w:bottom w:val="single" w:color="auto" w:sz="4" w:space="0"/>
              <w:right w:val="single" w:color="auto" w:sz="4" w:space="0"/>
            </w:tcBorders>
            <w:vAlign w:val="center"/>
          </w:tcPr>
          <w:p w14:paraId="19F453F6">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bl>
    <w:p w14:paraId="1E0F9BBB">
      <w:pPr>
        <w:adjustRightInd w:val="0"/>
        <w:snapToGrid w:val="0"/>
        <w:spacing w:line="400" w:lineRule="exact"/>
        <w:ind w:firstLine="480"/>
        <w:rPr>
          <w:rFonts w:ascii="宋体" w:hAnsi="宋体"/>
          <w:b/>
          <w:bCs/>
          <w:sz w:val="28"/>
          <w:szCs w:val="28"/>
        </w:rPr>
      </w:pPr>
      <w:r>
        <w:rPr>
          <w:rFonts w:hint="eastAsia" w:ascii="宋体" w:hAnsi="宋体"/>
          <w:b/>
          <w:bCs/>
          <w:sz w:val="24"/>
        </w:rPr>
        <w:t>投标相关文件要求：</w:t>
      </w:r>
    </w:p>
    <w:p w14:paraId="5F1B0CC9">
      <w:pPr>
        <w:spacing w:line="360" w:lineRule="auto"/>
        <w:ind w:firstLine="565" w:firstLineChars="202"/>
        <w:rPr>
          <w:rFonts w:hint="eastAsia" w:ascii="宋体" w:hAnsi="宋体"/>
          <w:sz w:val="28"/>
          <w:szCs w:val="28"/>
        </w:rPr>
      </w:pPr>
      <w:r>
        <w:rPr>
          <w:rFonts w:hint="eastAsia" w:ascii="宋体" w:hAnsi="宋体"/>
          <w:sz w:val="28"/>
          <w:szCs w:val="28"/>
        </w:rPr>
        <w:t>1.所有报价均以人民币最终报价，含设备费用、安装调试费、运费、清洁费、退换货费、税费(提供增值税普通发票)、售后服务等全部费用。报价文件中须提供详细报价清单并提供安装调试时间，并满足项目建设方案技术要求</w:t>
      </w:r>
    </w:p>
    <w:p w14:paraId="21DCA975">
      <w:pPr>
        <w:spacing w:line="360" w:lineRule="auto"/>
        <w:ind w:firstLine="565" w:firstLineChars="202"/>
        <w:rPr>
          <w:rFonts w:ascii="宋体" w:hAnsi="宋体"/>
          <w:sz w:val="28"/>
          <w:szCs w:val="28"/>
        </w:rPr>
      </w:pPr>
      <w:r>
        <w:rPr>
          <w:rFonts w:hint="eastAsia" w:ascii="宋体" w:hAnsi="宋体"/>
          <w:sz w:val="28"/>
          <w:szCs w:val="28"/>
        </w:rPr>
        <w:t>2.竞谈人须在竞价文件中单独提供一份切实可行的售后服务承诺书，明确质保期内、外的服务条款。</w:t>
      </w:r>
    </w:p>
    <w:p w14:paraId="1AA35141">
      <w:pPr>
        <w:spacing w:line="360" w:lineRule="auto"/>
        <w:ind w:firstLine="560" w:firstLineChars="200"/>
        <w:rPr>
          <w:rFonts w:hint="eastAsia" w:ascii="宋体" w:hAnsi="宋体"/>
          <w:sz w:val="28"/>
          <w:szCs w:val="28"/>
        </w:rPr>
      </w:pPr>
      <w:r>
        <w:rPr>
          <w:rFonts w:hint="eastAsia" w:ascii="宋体" w:hAnsi="宋体"/>
          <w:sz w:val="28"/>
          <w:szCs w:val="28"/>
        </w:rPr>
        <w:t>3.</w:t>
      </w:r>
      <w:r>
        <w:rPr>
          <w:rFonts w:hint="eastAsia"/>
        </w:rPr>
        <w:t xml:space="preserve"> </w:t>
      </w:r>
      <w:r>
        <w:rPr>
          <w:rFonts w:hint="eastAsia" w:ascii="宋体" w:hAnsi="宋体"/>
          <w:sz w:val="28"/>
          <w:szCs w:val="28"/>
        </w:rPr>
        <w:t>竞谈人在投标的同时请附上企业现行合法有效的营业执照原件（或营业执照公证件）及复印件（盖公章）以及售后服务承诺等相关证明。</w:t>
      </w:r>
    </w:p>
    <w:p w14:paraId="4AB9AE79">
      <w:pPr>
        <w:spacing w:line="360" w:lineRule="auto"/>
        <w:ind w:firstLine="565" w:firstLineChars="202"/>
        <w:rPr>
          <w:rFonts w:ascii="宋体" w:hAnsi="宋体"/>
          <w:sz w:val="28"/>
          <w:szCs w:val="28"/>
        </w:rPr>
      </w:pPr>
      <w:r>
        <w:rPr>
          <w:rFonts w:hint="eastAsia" w:ascii="宋体" w:hAnsi="宋体"/>
          <w:sz w:val="28"/>
          <w:szCs w:val="28"/>
        </w:rPr>
        <w:t>4.如竞价人单位法定代表人未能到现场参与，委托单位其他人员参与竞谈的，需提供法定代表人授权委托书及竞谈人在本公司购买的近6个月社保证明。</w:t>
      </w:r>
    </w:p>
    <w:p w14:paraId="4AFEB319">
      <w:pPr>
        <w:tabs>
          <w:tab w:val="left" w:pos="600"/>
        </w:tabs>
        <w:spacing w:line="360" w:lineRule="auto"/>
        <w:ind w:firstLine="560" w:firstLineChars="200"/>
        <w:rPr>
          <w:rFonts w:hint="eastAsia"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5. ★标书中的报价文件和技术文件需分别独立封装。其中报价文件应包含详细的设备清单及报价；技术文件则必须涵盖资质证明、竞价人提供的近三年内3个以上同类产品的业绩合同复印件（需加盖单位公章）或竞价人提供的厂家近三年内3个以上同类产品的业绩合同复印件（需加盖厂家公章）。此外，技术文件还应包括谈判代表的授权书、社保证明、详细清单、技术参数偏离表、建设方案以及售后服务方案等，且技术文件中严禁包含任何产品报价信息。投标现场还需提供一份U盘，存储上述资质证明、业绩合同复印件、谈判代表的授权书及社保证明等文件的盖章件电子档。</w:t>
      </w:r>
    </w:p>
    <w:p w14:paraId="5C3A557C">
      <w:pPr>
        <w:tabs>
          <w:tab w:val="left" w:pos="600"/>
        </w:tabs>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6. 对于代理产品的供应商，若中标，在签订合同前，必须提供原厂家的授权书及售后承诺书（需加盖厂家公章）。</w:t>
      </w:r>
    </w:p>
    <w:p w14:paraId="0107A352">
      <w:pPr>
        <w:spacing w:line="580" w:lineRule="exact"/>
        <w:ind w:firstLine="849" w:firstLineChars="302"/>
        <w:rPr>
          <w:rFonts w:ascii="宋体" w:hAnsi="宋体"/>
          <w:b/>
          <w:bCs/>
          <w:sz w:val="28"/>
          <w:szCs w:val="28"/>
        </w:rPr>
      </w:pPr>
      <w:r>
        <w:rPr>
          <w:rFonts w:hint="eastAsia" w:ascii="宋体" w:hAnsi="宋体"/>
          <w:b/>
          <w:bCs/>
          <w:sz w:val="28"/>
          <w:szCs w:val="28"/>
        </w:rPr>
        <w:t>六、交货及货款的结算方式：</w:t>
      </w:r>
    </w:p>
    <w:p w14:paraId="3E0E99E8">
      <w:pPr>
        <w:spacing w:line="360" w:lineRule="auto"/>
        <w:ind w:firstLine="560" w:firstLineChars="200"/>
        <w:rPr>
          <w:rFonts w:ascii="宋体" w:hAnsi="宋体"/>
          <w:color w:val="FF0000"/>
          <w:sz w:val="28"/>
          <w:szCs w:val="28"/>
        </w:rPr>
      </w:pPr>
      <w:r>
        <w:rPr>
          <w:rFonts w:hint="eastAsia" w:ascii="宋体" w:hAnsi="宋体"/>
          <w:color w:val="000000"/>
          <w:sz w:val="28"/>
          <w:szCs w:val="28"/>
        </w:rPr>
        <w:t>在合同签订后，严格按照院方指定的时间、地点安装调试完毕，并作好人员培训等相关工作，经验收合格后支付总货款的</w:t>
      </w:r>
      <w:r>
        <w:rPr>
          <w:rFonts w:ascii="宋体" w:hAnsi="宋体"/>
          <w:color w:val="000000"/>
          <w:sz w:val="28"/>
          <w:szCs w:val="28"/>
        </w:rPr>
        <w:t xml:space="preserve"> </w:t>
      </w:r>
      <w:r>
        <w:rPr>
          <w:rFonts w:hint="eastAsia" w:ascii="宋体" w:hAnsi="宋体"/>
          <w:color w:val="000000"/>
          <w:sz w:val="28"/>
          <w:szCs w:val="28"/>
        </w:rPr>
        <w:t>95</w:t>
      </w:r>
      <w:r>
        <w:rPr>
          <w:rFonts w:ascii="宋体" w:hAnsi="宋体"/>
          <w:color w:val="000000"/>
          <w:sz w:val="28"/>
          <w:szCs w:val="28"/>
        </w:rPr>
        <w:t xml:space="preserve"> %</w:t>
      </w:r>
      <w:r>
        <w:rPr>
          <w:rFonts w:hint="eastAsia" w:ascii="宋体" w:hAnsi="宋体"/>
          <w:color w:val="000000"/>
          <w:sz w:val="28"/>
          <w:szCs w:val="28"/>
        </w:rPr>
        <w:t>，余款5%在质保期满后支付。</w:t>
      </w:r>
    </w:p>
    <w:p w14:paraId="3354E492">
      <w:pPr>
        <w:spacing w:line="360" w:lineRule="auto"/>
        <w:ind w:firstLine="565" w:firstLineChars="201"/>
        <w:rPr>
          <w:rFonts w:ascii="宋体" w:hAnsi="宋体"/>
          <w:b/>
          <w:bCs/>
          <w:sz w:val="28"/>
          <w:szCs w:val="28"/>
        </w:rPr>
      </w:pPr>
      <w:r>
        <w:rPr>
          <w:rFonts w:hint="eastAsia" w:ascii="宋体" w:hAnsi="宋体"/>
          <w:b/>
          <w:bCs/>
          <w:sz w:val="28"/>
          <w:szCs w:val="28"/>
        </w:rPr>
        <w:t>七、谈判有关说明：</w:t>
      </w:r>
    </w:p>
    <w:p w14:paraId="0AE04239">
      <w:pPr>
        <w:spacing w:line="360" w:lineRule="auto"/>
        <w:ind w:firstLine="615"/>
        <w:rPr>
          <w:rFonts w:ascii="宋体" w:hAnsi="宋体"/>
          <w:sz w:val="28"/>
          <w:szCs w:val="28"/>
        </w:rPr>
      </w:pPr>
      <w:r>
        <w:rPr>
          <w:rFonts w:hint="eastAsia" w:ascii="宋体" w:hAnsi="宋体"/>
          <w:sz w:val="28"/>
          <w:szCs w:val="28"/>
        </w:rPr>
        <w:t xml:space="preserve">1.谈判地点：重庆人文科技学院后勤处一楼会议室。 </w:t>
      </w:r>
    </w:p>
    <w:p w14:paraId="4F5595D1">
      <w:pPr>
        <w:spacing w:line="360" w:lineRule="auto"/>
        <w:ind w:firstLine="615"/>
        <w:rPr>
          <w:rFonts w:hint="eastAsia" w:ascii="宋体" w:hAnsi="宋体" w:eastAsia="宋体"/>
          <w:sz w:val="28"/>
          <w:szCs w:val="28"/>
          <w:lang w:val="en-US" w:eastAsia="zh-CN"/>
        </w:rPr>
      </w:pPr>
      <w:r>
        <w:rPr>
          <w:rFonts w:hint="eastAsia" w:ascii="宋体" w:hAnsi="宋体"/>
          <w:sz w:val="28"/>
          <w:szCs w:val="28"/>
        </w:rPr>
        <w:t>2.谈判时间：</w:t>
      </w:r>
      <w:r>
        <w:rPr>
          <w:rFonts w:hint="eastAsia" w:ascii="宋体" w:hAnsi="宋体"/>
          <w:sz w:val="28"/>
          <w:szCs w:val="28"/>
          <w:lang w:eastAsia="zh-CN"/>
        </w:rPr>
        <w:t>另行通知</w:t>
      </w:r>
    </w:p>
    <w:p w14:paraId="36DDACF1">
      <w:pPr>
        <w:spacing w:line="360" w:lineRule="auto"/>
        <w:ind w:firstLine="420" w:firstLineChars="150"/>
        <w:rPr>
          <w:rFonts w:ascii="宋体" w:hAnsi="宋体"/>
          <w:sz w:val="28"/>
          <w:szCs w:val="28"/>
        </w:rPr>
      </w:pPr>
      <w:r>
        <w:rPr>
          <w:rFonts w:hint="eastAsia" w:ascii="宋体" w:hAnsi="宋体"/>
          <w:sz w:val="28"/>
          <w:szCs w:val="28"/>
        </w:rPr>
        <w:t xml:space="preserve"> 3.有关规定：超过谈判截止时间、不密封的谈判文件或不按《谈判文件》规定提交相关资质的谈判，我处恕不接受。</w:t>
      </w:r>
    </w:p>
    <w:p w14:paraId="4B6B46E0">
      <w:pPr>
        <w:spacing w:line="360" w:lineRule="auto"/>
        <w:ind w:firstLine="565" w:firstLineChars="201"/>
        <w:rPr>
          <w:rFonts w:ascii="宋体" w:hAnsi="宋体"/>
          <w:b/>
          <w:bCs/>
          <w:sz w:val="28"/>
          <w:szCs w:val="28"/>
        </w:rPr>
      </w:pPr>
      <w:r>
        <w:rPr>
          <w:rFonts w:hint="eastAsia" w:ascii="宋体" w:hAnsi="宋体"/>
          <w:b/>
          <w:bCs/>
          <w:sz w:val="28"/>
          <w:szCs w:val="28"/>
        </w:rPr>
        <w:t>八、联系人及联系方式：范老师  023-42460570</w:t>
      </w:r>
    </w:p>
    <w:p w14:paraId="218BA007">
      <w:pPr>
        <w:spacing w:line="360" w:lineRule="auto"/>
        <w:ind w:firstLine="565" w:firstLineChars="201"/>
        <w:rPr>
          <w:rFonts w:eastAsia="仿宋_GB2312"/>
          <w:b/>
          <w:bCs/>
          <w:sz w:val="28"/>
          <w:szCs w:val="28"/>
        </w:rPr>
      </w:pPr>
      <w:r>
        <w:rPr>
          <w:rFonts w:hint="eastAsia" w:ascii="宋体" w:hAnsi="宋体"/>
          <w:b/>
          <w:bCs/>
          <w:sz w:val="28"/>
          <w:szCs w:val="28"/>
        </w:rPr>
        <w:t>九、凡涉及本次谈判文件的解释权归竞争性谈判管理小组。</w:t>
      </w:r>
    </w:p>
    <w:p w14:paraId="2879E090">
      <w:pPr>
        <w:tabs>
          <w:tab w:val="left" w:pos="600"/>
        </w:tabs>
        <w:spacing w:line="360" w:lineRule="auto"/>
        <w:ind w:firstLine="560" w:firstLineChars="200"/>
        <w:rPr>
          <w:rFonts w:hint="eastAsia" w:ascii="宋体" w:hAnsi="宋体"/>
          <w:sz w:val="28"/>
          <w:szCs w:val="28"/>
        </w:rPr>
      </w:pPr>
      <w:r>
        <w:rPr>
          <w:rFonts w:hint="eastAsia" w:ascii="宋体" w:hAnsi="宋体"/>
          <w:sz w:val="28"/>
          <w:szCs w:val="28"/>
        </w:rPr>
        <w:t>十、一切与谈判有关的费用，均由竞谈人自理。</w:t>
      </w:r>
    </w:p>
    <w:p w14:paraId="3440E777">
      <w:pPr>
        <w:tabs>
          <w:tab w:val="left" w:pos="600"/>
        </w:tabs>
        <w:spacing w:line="360" w:lineRule="auto"/>
        <w:ind w:firstLine="560" w:firstLineChars="200"/>
        <w:rPr>
          <w:rFonts w:ascii="宋体"/>
          <w:sz w:val="28"/>
          <w:szCs w:val="28"/>
        </w:rPr>
      </w:pPr>
      <w:r>
        <w:rPr>
          <w:rFonts w:hint="eastAsia" w:ascii="宋体" w:hAnsi="宋体"/>
          <w:sz w:val="28"/>
          <w:szCs w:val="28"/>
        </w:rPr>
        <w:t>十一、投标保证金：</w:t>
      </w:r>
      <w:r>
        <w:rPr>
          <w:rFonts w:ascii="宋体" w:hAnsi="宋体"/>
          <w:color w:val="000000"/>
          <w:sz w:val="28"/>
          <w:szCs w:val="28"/>
          <w:u w:val="single"/>
        </w:rPr>
        <w:t xml:space="preserve">  </w:t>
      </w:r>
      <w:r>
        <w:rPr>
          <w:rFonts w:hint="eastAsia" w:ascii="宋体" w:hAnsi="宋体"/>
          <w:color w:val="000000"/>
          <w:sz w:val="28"/>
          <w:szCs w:val="28"/>
          <w:u w:val="single"/>
          <w:lang w:val="en-US" w:eastAsia="zh-CN"/>
        </w:rPr>
        <w:t>2</w:t>
      </w:r>
      <w:r>
        <w:rPr>
          <w:rFonts w:hint="eastAsia" w:ascii="宋体" w:hAnsi="宋体"/>
          <w:color w:val="000000"/>
          <w:sz w:val="28"/>
          <w:szCs w:val="28"/>
          <w:u w:val="single"/>
        </w:rPr>
        <w:t>0</w:t>
      </w:r>
      <w:r>
        <w:rPr>
          <w:rFonts w:ascii="宋体" w:hAnsi="宋体"/>
          <w:color w:val="000000"/>
          <w:sz w:val="28"/>
          <w:szCs w:val="28"/>
          <w:u w:val="single"/>
        </w:rPr>
        <w:t xml:space="preserve">000 </w:t>
      </w:r>
      <w:r>
        <w:rPr>
          <w:rFonts w:hint="eastAsia" w:ascii="宋体" w:hAnsi="宋体"/>
          <w:sz w:val="28"/>
          <w:szCs w:val="28"/>
        </w:rPr>
        <w:t>元（大写：</w:t>
      </w:r>
      <w:r>
        <w:rPr>
          <w:rFonts w:hint="eastAsia" w:ascii="宋体" w:hAnsi="宋体"/>
          <w:sz w:val="28"/>
          <w:szCs w:val="28"/>
          <w:lang w:eastAsia="zh-CN"/>
        </w:rPr>
        <w:t>贰</w:t>
      </w:r>
      <w:r>
        <w:rPr>
          <w:rFonts w:hint="eastAsia" w:ascii="宋体" w:hAnsi="宋体"/>
          <w:sz w:val="28"/>
          <w:szCs w:val="28"/>
        </w:rPr>
        <w:t>万元整）于开标前汇入如下账户：</w:t>
      </w:r>
    </w:p>
    <w:p w14:paraId="4A7136C3">
      <w:pPr>
        <w:tabs>
          <w:tab w:val="left" w:pos="600"/>
        </w:tabs>
        <w:spacing w:line="360" w:lineRule="auto"/>
        <w:ind w:firstLine="560" w:firstLineChars="200"/>
        <w:rPr>
          <w:rFonts w:ascii="宋体"/>
          <w:sz w:val="28"/>
          <w:szCs w:val="28"/>
          <w:u w:val="single"/>
        </w:rPr>
      </w:pPr>
      <w:r>
        <w:rPr>
          <w:rFonts w:hint="eastAsia" w:ascii="宋体" w:hAnsi="宋体"/>
          <w:sz w:val="28"/>
          <w:szCs w:val="28"/>
        </w:rPr>
        <w:t>单  位：重庆应用技术职业学院</w:t>
      </w:r>
    </w:p>
    <w:p w14:paraId="298BD359">
      <w:pPr>
        <w:tabs>
          <w:tab w:val="left" w:pos="600"/>
        </w:tabs>
        <w:spacing w:line="360" w:lineRule="auto"/>
        <w:ind w:firstLine="560" w:firstLineChars="200"/>
        <w:rPr>
          <w:rFonts w:ascii="宋体" w:hAnsi="宋体"/>
          <w:sz w:val="28"/>
          <w:szCs w:val="28"/>
        </w:rPr>
      </w:pPr>
      <w:r>
        <w:rPr>
          <w:rFonts w:hint="eastAsia" w:ascii="宋体" w:hAnsi="宋体"/>
          <w:sz w:val="28"/>
          <w:szCs w:val="28"/>
        </w:rPr>
        <w:t>开户行：工商银行重庆合阳支行</w:t>
      </w:r>
    </w:p>
    <w:p w14:paraId="7E201F6E">
      <w:pPr>
        <w:tabs>
          <w:tab w:val="left" w:pos="600"/>
        </w:tabs>
        <w:spacing w:line="360" w:lineRule="auto"/>
        <w:ind w:firstLine="560" w:firstLineChars="200"/>
        <w:rPr>
          <w:rFonts w:ascii="宋体"/>
          <w:sz w:val="28"/>
          <w:szCs w:val="28"/>
        </w:rPr>
      </w:pPr>
      <w:r>
        <w:rPr>
          <w:rFonts w:hint="eastAsia" w:ascii="宋体" w:hAnsi="宋体"/>
          <w:sz w:val="28"/>
          <w:szCs w:val="28"/>
        </w:rPr>
        <w:t>账  号：</w:t>
      </w:r>
      <w:r>
        <w:rPr>
          <w:rFonts w:ascii="宋体" w:hAnsi="宋体"/>
          <w:sz w:val="28"/>
          <w:szCs w:val="28"/>
        </w:rPr>
        <w:t>3100094019200114090</w:t>
      </w:r>
    </w:p>
    <w:p w14:paraId="6EF8164E">
      <w:pPr>
        <w:tabs>
          <w:tab w:val="left" w:pos="600"/>
        </w:tabs>
        <w:spacing w:line="360" w:lineRule="auto"/>
        <w:ind w:firstLine="560" w:firstLineChars="200"/>
        <w:rPr>
          <w:rFonts w:ascii="宋体" w:hAnsi="宋体"/>
          <w:sz w:val="28"/>
          <w:szCs w:val="28"/>
        </w:rPr>
      </w:pPr>
      <w:r>
        <w:rPr>
          <w:rFonts w:hint="eastAsia" w:ascii="宋体" w:hAnsi="宋体"/>
          <w:sz w:val="28"/>
          <w:szCs w:val="28"/>
        </w:rPr>
        <w:t>★竞谈现场提供一份纸质投标保证金回执单</w:t>
      </w:r>
    </w:p>
    <w:p w14:paraId="77489120">
      <w:pPr>
        <w:tabs>
          <w:tab w:val="left" w:pos="600"/>
        </w:tabs>
        <w:spacing w:line="360" w:lineRule="auto"/>
        <w:ind w:firstLine="560" w:firstLineChars="200"/>
        <w:rPr>
          <w:rFonts w:ascii="宋体" w:hAnsi="宋体"/>
          <w:sz w:val="28"/>
          <w:szCs w:val="28"/>
        </w:rPr>
      </w:pPr>
      <w:r>
        <w:rPr>
          <w:rFonts w:hint="eastAsia" w:ascii="宋体" w:hAnsi="宋体"/>
          <w:sz w:val="28"/>
          <w:szCs w:val="28"/>
        </w:rPr>
        <w:t>未中标的投标人的投标保证金将于定标后的7个工作日内予以退还（不计利息），中标人的投标保证金，自动转为履约保证金，采购方和使用单位对项目共同验收合格后退还投标保证金（不计利息）。</w:t>
      </w:r>
    </w:p>
    <w:p w14:paraId="3F0AADEE">
      <w:pPr>
        <w:tabs>
          <w:tab w:val="left" w:pos="600"/>
        </w:tabs>
        <w:spacing w:line="360" w:lineRule="auto"/>
        <w:ind w:firstLine="560" w:firstLineChars="200"/>
        <w:rPr>
          <w:rFonts w:ascii="宋体" w:hAnsi="宋体"/>
          <w:sz w:val="28"/>
          <w:szCs w:val="28"/>
        </w:rPr>
      </w:pPr>
      <w:r>
        <w:rPr>
          <w:rFonts w:hint="eastAsia" w:ascii="宋体" w:hAnsi="宋体"/>
          <w:sz w:val="28"/>
          <w:szCs w:val="28"/>
        </w:rPr>
        <w:t>如投标人发生下列情况之一时，投标保证金不退还：</w:t>
      </w:r>
    </w:p>
    <w:p w14:paraId="6914576F">
      <w:pPr>
        <w:tabs>
          <w:tab w:val="left" w:pos="600"/>
        </w:tabs>
        <w:spacing w:line="360" w:lineRule="auto"/>
        <w:ind w:firstLine="560" w:firstLineChars="200"/>
        <w:rPr>
          <w:rFonts w:ascii="宋体" w:hAnsi="宋体"/>
          <w:sz w:val="28"/>
          <w:szCs w:val="28"/>
        </w:rPr>
      </w:pPr>
      <w:r>
        <w:rPr>
          <w:rFonts w:hint="eastAsia" w:ascii="宋体" w:hAnsi="宋体"/>
          <w:sz w:val="28"/>
          <w:szCs w:val="28"/>
        </w:rPr>
        <w:t>1.开标后投标人在投标有效期内撤回投标。</w:t>
      </w:r>
    </w:p>
    <w:p w14:paraId="0AFEB9B4">
      <w:pPr>
        <w:tabs>
          <w:tab w:val="left" w:pos="600"/>
        </w:tabs>
        <w:spacing w:line="360" w:lineRule="auto"/>
        <w:ind w:firstLine="560" w:firstLineChars="200"/>
        <w:rPr>
          <w:rFonts w:ascii="宋体" w:hAnsi="宋体"/>
          <w:sz w:val="28"/>
          <w:szCs w:val="28"/>
        </w:rPr>
      </w:pPr>
      <w:r>
        <w:rPr>
          <w:rFonts w:hint="eastAsia" w:ascii="宋体" w:hAnsi="宋体"/>
          <w:sz w:val="28"/>
          <w:szCs w:val="28"/>
        </w:rPr>
        <w:t>2.投标人有违纪违规现象的。</w:t>
      </w:r>
    </w:p>
    <w:p w14:paraId="3847AD90">
      <w:pPr>
        <w:tabs>
          <w:tab w:val="left" w:pos="600"/>
        </w:tabs>
        <w:spacing w:line="360" w:lineRule="auto"/>
        <w:ind w:firstLine="560" w:firstLineChars="200"/>
        <w:rPr>
          <w:rFonts w:hint="eastAsia" w:ascii="宋体" w:hAnsi="宋体"/>
          <w:sz w:val="28"/>
          <w:szCs w:val="28"/>
        </w:rPr>
      </w:pPr>
      <w:r>
        <w:rPr>
          <w:rFonts w:hint="eastAsia" w:ascii="宋体" w:hAnsi="宋体"/>
          <w:sz w:val="28"/>
          <w:szCs w:val="28"/>
        </w:rPr>
        <w:t>3.招标人在定标后的7个工作日内不履行订立合同的。</w:t>
      </w:r>
    </w:p>
    <w:p w14:paraId="756425A8">
      <w:pPr>
        <w:tabs>
          <w:tab w:val="left" w:pos="600"/>
        </w:tabs>
        <w:spacing w:line="360" w:lineRule="auto"/>
        <w:ind w:firstLine="560" w:firstLineChars="200"/>
        <w:rPr>
          <w:rFonts w:hint="eastAsia" w:ascii="宋体" w:hAnsi="宋体"/>
          <w:sz w:val="28"/>
          <w:szCs w:val="28"/>
        </w:rPr>
      </w:pPr>
      <w:r>
        <w:rPr>
          <w:rFonts w:hint="eastAsia" w:ascii="宋体" w:hAnsi="宋体"/>
          <w:sz w:val="28"/>
          <w:szCs w:val="28"/>
        </w:rPr>
        <w:t>4.中标人在履约过程中以次充好，供货质量达不到校方要求的，由此给校方造成的损失或者是耽误使用部门使用的；中标人造成的损失超过投标保证金数额的，校方将对超过部门予以赔偿。</w:t>
      </w:r>
    </w:p>
    <w:p w14:paraId="61BF2781">
      <w:pPr>
        <w:tabs>
          <w:tab w:val="left" w:pos="600"/>
        </w:tabs>
        <w:spacing w:line="360" w:lineRule="auto"/>
        <w:ind w:firstLine="560" w:firstLineChars="200"/>
        <w:rPr>
          <w:rFonts w:ascii="宋体" w:hAnsi="宋体"/>
          <w:color w:val="000000"/>
          <w:sz w:val="28"/>
          <w:szCs w:val="28"/>
        </w:rPr>
      </w:pPr>
      <w:r>
        <w:rPr>
          <w:rFonts w:hint="eastAsia" w:ascii="宋体" w:hAnsi="宋体"/>
          <w:color w:val="000000"/>
          <w:sz w:val="28"/>
          <w:szCs w:val="28"/>
        </w:rPr>
        <w:t>5.中标人如有以上情况之一者，五年内不得参与我校所有招标项目。</w:t>
      </w:r>
    </w:p>
    <w:p w14:paraId="646D0949">
      <w:pPr>
        <w:tabs>
          <w:tab w:val="left" w:pos="600"/>
        </w:tabs>
        <w:spacing w:line="360" w:lineRule="auto"/>
        <w:ind w:firstLine="560" w:firstLineChars="200"/>
        <w:rPr>
          <w:rFonts w:hint="eastAsia" w:ascii="宋体" w:hAnsi="宋体"/>
          <w:sz w:val="28"/>
          <w:szCs w:val="28"/>
        </w:rPr>
      </w:pPr>
    </w:p>
    <w:p w14:paraId="7AA85688">
      <w:pPr>
        <w:tabs>
          <w:tab w:val="left" w:pos="600"/>
        </w:tabs>
        <w:spacing w:line="580" w:lineRule="exact"/>
        <w:jc w:val="center"/>
        <w:rPr>
          <w:rFonts w:hint="eastAsia" w:ascii="宋体" w:hAnsi="宋体"/>
          <w:b/>
          <w:bCs/>
          <w:sz w:val="32"/>
          <w:szCs w:val="32"/>
        </w:rPr>
      </w:pPr>
    </w:p>
    <w:p w14:paraId="1CA73E1A">
      <w:pPr>
        <w:tabs>
          <w:tab w:val="left" w:pos="600"/>
        </w:tabs>
        <w:spacing w:line="360" w:lineRule="auto"/>
        <w:ind w:firstLine="2570" w:firstLineChars="800"/>
        <w:rPr>
          <w:rFonts w:ascii="宋体" w:hAnsi="宋体"/>
          <w:sz w:val="28"/>
          <w:szCs w:val="28"/>
        </w:rPr>
      </w:pPr>
      <w:r>
        <w:rPr>
          <w:rFonts w:hint="eastAsia" w:ascii="宋体" w:hAnsi="宋体"/>
          <w:b/>
          <w:bCs/>
          <w:sz w:val="32"/>
          <w:szCs w:val="32"/>
        </w:rPr>
        <w:t>第二部分</w:t>
      </w:r>
      <w:r>
        <w:rPr>
          <w:rFonts w:ascii="宋体" w:hAnsi="宋体"/>
          <w:b/>
          <w:bCs/>
          <w:sz w:val="32"/>
          <w:szCs w:val="32"/>
        </w:rPr>
        <w:t xml:space="preserve">   </w:t>
      </w:r>
      <w:r>
        <w:rPr>
          <w:rFonts w:hint="eastAsia" w:ascii="宋体" w:hAnsi="宋体"/>
          <w:b/>
          <w:bCs/>
          <w:sz w:val="32"/>
          <w:szCs w:val="32"/>
        </w:rPr>
        <w:t>竞争性谈判相关附件</w:t>
      </w:r>
    </w:p>
    <w:p w14:paraId="634C83A4">
      <w:pPr>
        <w:tabs>
          <w:tab w:val="left" w:pos="600"/>
        </w:tabs>
        <w:spacing w:line="360" w:lineRule="auto"/>
        <w:ind w:firstLine="565" w:firstLineChars="201"/>
        <w:rPr>
          <w:rFonts w:ascii="宋体"/>
          <w:b/>
          <w:bCs/>
          <w:sz w:val="28"/>
          <w:szCs w:val="28"/>
        </w:rPr>
      </w:pPr>
      <w:r>
        <w:rPr>
          <w:rFonts w:hint="eastAsia" w:ascii="宋体" w:hAnsi="宋体"/>
          <w:b/>
          <w:bCs/>
          <w:sz w:val="28"/>
          <w:szCs w:val="28"/>
        </w:rPr>
        <w:t>附件</w:t>
      </w:r>
      <w:r>
        <w:rPr>
          <w:rFonts w:ascii="宋体" w:hAnsi="宋体"/>
          <w:b/>
          <w:bCs/>
          <w:sz w:val="28"/>
          <w:szCs w:val="28"/>
        </w:rPr>
        <w:t>1</w:t>
      </w:r>
      <w:r>
        <w:rPr>
          <w:rFonts w:hint="eastAsia" w:ascii="宋体" w:hAnsi="宋体"/>
          <w:b/>
          <w:bCs/>
          <w:sz w:val="28"/>
          <w:szCs w:val="28"/>
        </w:rPr>
        <w:t>：买卖合同主要条款</w:t>
      </w:r>
    </w:p>
    <w:p w14:paraId="628DBE84">
      <w:pPr>
        <w:tabs>
          <w:tab w:val="left" w:pos="600"/>
        </w:tabs>
        <w:spacing w:line="360" w:lineRule="auto"/>
        <w:ind w:firstLine="565" w:firstLineChars="201"/>
        <w:rPr>
          <w:rFonts w:ascii="宋体"/>
          <w:b/>
          <w:bCs/>
          <w:sz w:val="28"/>
          <w:szCs w:val="28"/>
        </w:rPr>
      </w:pPr>
    </w:p>
    <w:p w14:paraId="15E7AA13">
      <w:pPr>
        <w:pStyle w:val="10"/>
        <w:rPr>
          <w:rFonts w:ascii="仿宋" w:hAnsi="仿宋" w:eastAsia="仿宋"/>
          <w:b/>
          <w:sz w:val="36"/>
          <w:szCs w:val="36"/>
        </w:rPr>
      </w:pPr>
      <w:r>
        <w:rPr>
          <w:rFonts w:hint="eastAsia" w:ascii="仿宋" w:hAnsi="仿宋" w:eastAsia="仿宋"/>
          <w:b/>
          <w:sz w:val="36"/>
          <w:szCs w:val="36"/>
        </w:rPr>
        <w:t>买卖合同主要条款</w:t>
      </w:r>
    </w:p>
    <w:p w14:paraId="2411C099">
      <w:pPr>
        <w:widowControl/>
        <w:adjustRightInd w:val="0"/>
        <w:snapToGrid w:val="0"/>
        <w:spacing w:line="460" w:lineRule="exact"/>
        <w:ind w:firstLine="487" w:firstLineChars="202"/>
        <w:jc w:val="left"/>
        <w:rPr>
          <w:rFonts w:ascii="宋体"/>
          <w:b/>
          <w:sz w:val="24"/>
        </w:rPr>
      </w:pPr>
    </w:p>
    <w:p w14:paraId="5A2B6C13">
      <w:pPr>
        <w:widowControl/>
        <w:adjustRightInd w:val="0"/>
        <w:snapToGrid w:val="0"/>
        <w:spacing w:line="460" w:lineRule="exact"/>
        <w:ind w:firstLine="361" w:firstLineChars="150"/>
        <w:jc w:val="left"/>
        <w:rPr>
          <w:rFonts w:ascii="宋体"/>
          <w:b/>
          <w:sz w:val="24"/>
        </w:rPr>
      </w:pPr>
      <w:r>
        <w:rPr>
          <w:rFonts w:hint="eastAsia" w:ascii="宋体" w:hAnsi="宋体"/>
          <w:b/>
          <w:sz w:val="24"/>
        </w:rPr>
        <w:t>甲方（买方）：</w:t>
      </w:r>
      <w:r>
        <w:rPr>
          <w:rFonts w:ascii="宋体" w:hAnsi="宋体"/>
          <w:b/>
          <w:sz w:val="24"/>
          <w:u w:val="single"/>
        </w:rPr>
        <w:t xml:space="preserve">                                         </w:t>
      </w:r>
    </w:p>
    <w:p w14:paraId="541B100C">
      <w:pPr>
        <w:adjustRightInd w:val="0"/>
        <w:snapToGrid w:val="0"/>
        <w:spacing w:line="460" w:lineRule="exact"/>
        <w:ind w:firstLine="361" w:firstLineChars="150"/>
        <w:rPr>
          <w:rFonts w:ascii="宋体"/>
          <w:b/>
          <w:sz w:val="24"/>
        </w:rPr>
      </w:pPr>
      <w:r>
        <w:rPr>
          <w:rFonts w:hint="eastAsia" w:ascii="宋体" w:hAnsi="宋体"/>
          <w:b/>
          <w:sz w:val="24"/>
        </w:rPr>
        <w:t>乙方（卖方）：</w:t>
      </w:r>
      <w:r>
        <w:rPr>
          <w:rFonts w:ascii="宋体" w:hAnsi="宋体"/>
          <w:b/>
          <w:sz w:val="24"/>
          <w:u w:val="single"/>
        </w:rPr>
        <w:t xml:space="preserve">                                          </w:t>
      </w:r>
    </w:p>
    <w:p w14:paraId="30F94388">
      <w:pPr>
        <w:widowControl/>
        <w:adjustRightInd w:val="0"/>
        <w:snapToGrid w:val="0"/>
        <w:spacing w:line="460" w:lineRule="exact"/>
        <w:ind w:firstLine="487" w:firstLineChars="202"/>
        <w:jc w:val="left"/>
        <w:rPr>
          <w:rFonts w:ascii="宋体"/>
          <w:b/>
          <w:sz w:val="24"/>
        </w:rPr>
      </w:pPr>
    </w:p>
    <w:p w14:paraId="338CD6FB">
      <w:pPr>
        <w:widowControl/>
        <w:adjustRightInd w:val="0"/>
        <w:snapToGrid w:val="0"/>
        <w:spacing w:line="360" w:lineRule="auto"/>
        <w:ind w:firstLine="480" w:firstLineChars="200"/>
        <w:rPr>
          <w:rFonts w:ascii="等线" w:hAnsi="等线" w:eastAsia="等线"/>
          <w:color w:val="000000"/>
          <w:sz w:val="24"/>
        </w:rPr>
      </w:pPr>
      <w:r>
        <w:rPr>
          <w:rFonts w:hint="eastAsia" w:ascii="宋体" w:hAnsi="宋体"/>
          <w:color w:val="000000"/>
          <w:sz w:val="24"/>
        </w:rPr>
        <w:t>甲乙双方就甲方向乙方购买</w:t>
      </w:r>
      <w:r>
        <w:rPr>
          <w:rFonts w:ascii="宋体" w:hAnsi="宋体"/>
          <w:color w:val="000000"/>
          <w:sz w:val="24"/>
          <w:u w:val="single"/>
        </w:rPr>
        <w:t xml:space="preserve">         </w:t>
      </w:r>
      <w:r>
        <w:rPr>
          <w:rFonts w:hint="eastAsia" w:ascii="宋体" w:hAnsi="宋体"/>
          <w:color w:val="000000"/>
          <w:sz w:val="24"/>
        </w:rPr>
        <w:t>事宜，</w:t>
      </w:r>
      <w:r>
        <w:rPr>
          <w:rFonts w:hint="eastAsia" w:ascii="等线" w:hAnsi="等线" w:eastAsia="等线"/>
          <w:color w:val="000000"/>
          <w:sz w:val="24"/>
        </w:rPr>
        <w:t>经友好协商一致，达成如下条款供双方遵守：</w:t>
      </w:r>
    </w:p>
    <w:p w14:paraId="5560862A">
      <w:pPr>
        <w:widowControl/>
        <w:adjustRightInd w:val="0"/>
        <w:snapToGrid w:val="0"/>
        <w:spacing w:line="440" w:lineRule="exact"/>
        <w:ind w:firstLine="484" w:firstLineChars="202"/>
        <w:rPr>
          <w:rFonts w:ascii="宋体"/>
          <w:color w:val="000000"/>
          <w:sz w:val="24"/>
        </w:rPr>
      </w:pPr>
      <w:r>
        <w:rPr>
          <w:rFonts w:hint="eastAsia" w:ascii="宋体" w:hAnsi="宋体"/>
          <w:color w:val="000000"/>
          <w:sz w:val="24"/>
        </w:rPr>
        <w:t>（注：以下内容为买卖合同的主要条款）</w:t>
      </w:r>
    </w:p>
    <w:p w14:paraId="0F501BE0">
      <w:pPr>
        <w:pStyle w:val="39"/>
        <w:widowControl/>
        <w:adjustRightInd w:val="0"/>
        <w:snapToGrid w:val="0"/>
        <w:spacing w:line="440" w:lineRule="exact"/>
        <w:ind w:left="568" w:firstLine="0" w:firstLineChars="0"/>
        <w:jc w:val="left"/>
        <w:rPr>
          <w:b/>
          <w:color w:val="000000"/>
          <w:sz w:val="24"/>
        </w:rPr>
      </w:pPr>
      <w:r>
        <w:rPr>
          <w:rFonts w:hint="eastAsia"/>
          <w:b/>
          <w:color w:val="000000"/>
          <w:sz w:val="24"/>
        </w:rPr>
        <w:t>一、标的物情况及价格</w:t>
      </w:r>
    </w:p>
    <w:p w14:paraId="67B7C2D2">
      <w:pPr>
        <w:widowControl/>
        <w:adjustRightInd w:val="0"/>
        <w:snapToGrid w:val="0"/>
        <w:spacing w:line="440" w:lineRule="exact"/>
        <w:ind w:left="1" w:firstLine="360" w:firstLineChars="150"/>
        <w:jc w:val="left"/>
        <w:rPr>
          <w:rFonts w:ascii="宋体"/>
          <w:color w:val="000000"/>
          <w:sz w:val="24"/>
        </w:rPr>
      </w:pPr>
      <w:r>
        <w:rPr>
          <w:rFonts w:hint="eastAsia" w:ascii="宋体" w:hAnsi="宋体"/>
          <w:color w:val="000000"/>
          <w:sz w:val="24"/>
        </w:rPr>
        <w:t>（二）合同总价格为</w:t>
      </w:r>
      <w:r>
        <w:rPr>
          <w:rFonts w:hint="eastAsia" w:ascii="宋体" w:hAnsi="宋体"/>
          <w:bCs/>
          <w:color w:val="000000"/>
          <w:sz w:val="24"/>
        </w:rPr>
        <w:t>（大写）：</w:t>
      </w:r>
      <w:r>
        <w:rPr>
          <w:rFonts w:ascii="宋体" w:hAnsi="宋体"/>
          <w:bCs/>
          <w:color w:val="000000"/>
          <w:sz w:val="24"/>
          <w:u w:val="single"/>
        </w:rPr>
        <w:t xml:space="preserve">      </w:t>
      </w:r>
      <w:r>
        <w:rPr>
          <w:rFonts w:hint="eastAsia" w:ascii="宋体" w:hAnsi="宋体"/>
          <w:color w:val="000000"/>
          <w:sz w:val="24"/>
        </w:rPr>
        <w:t>（小写：￥</w:t>
      </w:r>
      <w:r>
        <w:rPr>
          <w:rFonts w:ascii="宋体"/>
          <w:color w:val="000000"/>
          <w:sz w:val="24"/>
        </w:rPr>
        <w:t>0</w:t>
      </w:r>
      <w:r>
        <w:rPr>
          <w:rFonts w:ascii="宋体" w:cs="宋体"/>
          <w:color w:val="000000"/>
          <w:kern w:val="0"/>
          <w:sz w:val="24"/>
        </w:rPr>
        <w:t>00,000.00</w:t>
      </w:r>
      <w:r>
        <w:rPr>
          <w:rFonts w:hint="eastAsia" w:ascii="宋体" w:hAnsi="宋体"/>
          <w:color w:val="000000"/>
          <w:sz w:val="24"/>
        </w:rPr>
        <w:t>），本价格包含产品（设备）价格、运输费、搬运费、质保期内售后服务费、退换货运费、清洁费、安装调试费（设备）、税金等全部费用在内，除本合同约定外，乙方不得要求甲方另行支付任何费用。</w:t>
      </w:r>
    </w:p>
    <w:p w14:paraId="18E7F1CA">
      <w:pPr>
        <w:widowControl/>
        <w:adjustRightInd w:val="0"/>
        <w:snapToGrid w:val="0"/>
        <w:spacing w:line="440" w:lineRule="exact"/>
        <w:ind w:left="1" w:firstLine="360" w:firstLineChars="150"/>
        <w:jc w:val="left"/>
        <w:rPr>
          <w:rFonts w:ascii="宋体"/>
          <w:color w:val="000000"/>
          <w:sz w:val="24"/>
        </w:rPr>
      </w:pPr>
      <w:r>
        <w:rPr>
          <w:rFonts w:hint="eastAsia" w:ascii="宋体" w:hAnsi="宋体"/>
          <w:color w:val="000000"/>
          <w:sz w:val="24"/>
        </w:rPr>
        <w:t>（三）乙方承诺本合同销售产品（设备）单价不高于</w:t>
      </w:r>
      <w:bookmarkStart w:id="0" w:name="_Hlk15208814"/>
      <w:r>
        <w:rPr>
          <w:rFonts w:hint="eastAsia" w:ascii="宋体" w:hAnsi="宋体"/>
          <w:color w:val="000000"/>
          <w:sz w:val="24"/>
        </w:rPr>
        <w:t>乙方销售给第三人的价格或市场平均价格</w:t>
      </w:r>
      <w:bookmarkEnd w:id="0"/>
      <w:r>
        <w:rPr>
          <w:rFonts w:hint="eastAsia" w:ascii="宋体" w:hAnsi="宋体"/>
          <w:color w:val="000000"/>
          <w:sz w:val="24"/>
        </w:rPr>
        <w:t>（含网络销售平台平均价格）。若甲方发现向乙方购买的产品（设备）单价高于第三人的购买价格或市场平均价格，则乙方按高出部分的两倍向甲方支付违约金。价格承诺期为</w:t>
      </w:r>
      <w:r>
        <w:rPr>
          <w:rFonts w:ascii="宋体" w:hAnsi="宋体"/>
          <w:color w:val="000000"/>
          <w:sz w:val="24"/>
        </w:rPr>
        <w:t xml:space="preserve"> </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日起至</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日止。</w:t>
      </w:r>
    </w:p>
    <w:p w14:paraId="30770B0E">
      <w:pPr>
        <w:pStyle w:val="39"/>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left="-178" w:leftChars="-85" w:firstLine="605" w:firstLineChars="251"/>
        <w:jc w:val="left"/>
        <w:rPr>
          <w:b/>
          <w:color w:val="000000"/>
          <w:sz w:val="24"/>
        </w:rPr>
      </w:pPr>
      <w:r>
        <w:rPr>
          <w:rFonts w:hint="eastAsia"/>
          <w:b/>
          <w:color w:val="000000"/>
          <w:sz w:val="24"/>
        </w:rPr>
        <w:t>三、交货时间</w:t>
      </w:r>
    </w:p>
    <w:p w14:paraId="70DD1644">
      <w:pPr>
        <w:pStyle w:val="39"/>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firstLine="484" w:firstLineChars="202"/>
        <w:rPr>
          <w:color w:val="C0504D"/>
          <w:sz w:val="24"/>
        </w:rPr>
      </w:pPr>
      <w:r>
        <w:rPr>
          <w:rFonts w:hint="eastAsia"/>
          <w:color w:val="000000"/>
          <w:sz w:val="24"/>
        </w:rPr>
        <w:t>甲乙双方签定合同后，乙方须在</w:t>
      </w: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之前将甲方订购的产品送到甲方指定的地点（设备须在此期限按要求安装完毕，并能投入正常使用）并经甲方验收合格。否则每延迟一日，按合同价款的千分之五向甲方支付违约金。乙方逾期十日仍不能交货的，甲方有权解除合同，尚未支付的货款不予支付，已经支付的货款乙方须全额返还，同时乙方须按本合同交易总金额的</w:t>
      </w:r>
      <w:r>
        <w:rPr>
          <w:color w:val="000000"/>
          <w:sz w:val="24"/>
        </w:rPr>
        <w:t>20%</w:t>
      </w:r>
      <w:r>
        <w:rPr>
          <w:rFonts w:hint="eastAsia"/>
          <w:color w:val="000000"/>
          <w:sz w:val="24"/>
        </w:rPr>
        <w:t>向甲方承担违约金。</w:t>
      </w:r>
    </w:p>
    <w:p w14:paraId="4C10A16A">
      <w:pPr>
        <w:adjustRightInd w:val="0"/>
        <w:snapToGrid w:val="0"/>
        <w:spacing w:line="440" w:lineRule="exact"/>
        <w:ind w:firstLine="482" w:firstLineChars="200"/>
        <w:rPr>
          <w:rFonts w:ascii="宋体"/>
          <w:b/>
          <w:color w:val="000000"/>
          <w:sz w:val="24"/>
        </w:rPr>
      </w:pPr>
      <w:r>
        <w:rPr>
          <w:rFonts w:hint="eastAsia" w:ascii="宋体" w:hAnsi="宋体"/>
          <w:b/>
          <w:color w:val="000000"/>
          <w:sz w:val="24"/>
        </w:rPr>
        <w:t>六、付款方式</w:t>
      </w:r>
    </w:p>
    <w:p w14:paraId="29128159">
      <w:pPr>
        <w:adjustRightInd w:val="0"/>
        <w:snapToGrid w:val="0"/>
        <w:spacing w:line="440" w:lineRule="exact"/>
        <w:ind w:firstLine="360" w:firstLineChars="150"/>
        <w:rPr>
          <w:rFonts w:ascii="宋体"/>
          <w:color w:val="000000"/>
          <w:sz w:val="24"/>
        </w:rPr>
      </w:pPr>
      <w:r>
        <w:rPr>
          <w:rFonts w:hint="eastAsia" w:ascii="宋体" w:hAnsi="宋体"/>
          <w:color w:val="000000"/>
          <w:sz w:val="24"/>
        </w:rPr>
        <w:t>（一）乙方将全部产品（设备）送达甲方指定地点（设备须安装调试完毕），经甲方代表验收合格，在验收单上签字确认后，甲方向乙方支付合同总金额的</w:t>
      </w:r>
      <w:r>
        <w:rPr>
          <w:rFonts w:ascii="宋体" w:hAnsi="宋体"/>
          <w:color w:val="000000"/>
          <w:sz w:val="24"/>
          <w:u w:val="single"/>
        </w:rPr>
        <w:t xml:space="preserve"> 95 </w:t>
      </w:r>
      <w:r>
        <w:rPr>
          <w:rFonts w:ascii="宋体" w:hAnsi="宋体"/>
          <w:color w:val="000000"/>
          <w:sz w:val="24"/>
        </w:rPr>
        <w:t>%</w:t>
      </w:r>
      <w:r>
        <w:rPr>
          <w:rFonts w:hint="eastAsia" w:ascii="宋体" w:hAnsi="宋体"/>
          <w:color w:val="000000"/>
          <w:sz w:val="24"/>
        </w:rPr>
        <w:t>，质保期满后支付余款（因乙方未能按本合同约定提供售后质保服务，质保金应扣除部分除外）。</w:t>
      </w:r>
    </w:p>
    <w:p w14:paraId="3B32971F">
      <w:pPr>
        <w:widowControl/>
        <w:adjustRightInd w:val="0"/>
        <w:snapToGrid w:val="0"/>
        <w:spacing w:line="440" w:lineRule="exact"/>
        <w:ind w:firstLine="364" w:firstLineChars="152"/>
        <w:jc w:val="left"/>
        <w:rPr>
          <w:rFonts w:ascii="宋体"/>
          <w:color w:val="000000"/>
          <w:sz w:val="24"/>
        </w:rPr>
      </w:pPr>
      <w:r>
        <w:rPr>
          <w:rFonts w:hint="eastAsia" w:ascii="宋体" w:hAnsi="宋体"/>
          <w:color w:val="000000"/>
          <w:sz w:val="24"/>
        </w:rPr>
        <w:t>（四）在甲方支付合同款项前，乙方须向甲方送交合法有效的全额增值税</w:t>
      </w:r>
      <w:r>
        <w:rPr>
          <w:rFonts w:hint="eastAsia" w:ascii="宋体" w:hAnsi="宋体"/>
          <w:b/>
          <w:bCs/>
          <w:color w:val="FF0000"/>
          <w:sz w:val="24"/>
        </w:rPr>
        <w:t>普通</w:t>
      </w:r>
      <w:r>
        <w:rPr>
          <w:rFonts w:hint="eastAsia" w:ascii="宋体" w:hAnsi="宋体"/>
          <w:color w:val="000000"/>
          <w:sz w:val="24"/>
        </w:rPr>
        <w:t>发票。若乙方未按期送交合法有效的全额发票，则甲方付款时间自动顺延，甲方不承担迟延付款的任何责任。</w:t>
      </w:r>
    </w:p>
    <w:p w14:paraId="0A0E450B">
      <w:pPr>
        <w:pStyle w:val="39"/>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firstLine="602" w:firstLineChars="250"/>
        <w:jc w:val="left"/>
        <w:rPr>
          <w:b/>
          <w:color w:val="000000"/>
          <w:sz w:val="24"/>
        </w:rPr>
      </w:pPr>
      <w:r>
        <w:rPr>
          <w:rFonts w:hint="eastAsia"/>
          <w:b/>
          <w:color w:val="000000"/>
          <w:sz w:val="24"/>
        </w:rPr>
        <w:t>七、售后服务</w:t>
      </w:r>
    </w:p>
    <w:p w14:paraId="1AFDCEDD">
      <w:pPr>
        <w:pStyle w:val="39"/>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firstLine="484" w:firstLineChars="202"/>
        <w:jc w:val="left"/>
        <w:rPr>
          <w:color w:val="000000"/>
          <w:sz w:val="24"/>
        </w:rPr>
      </w:pPr>
      <w:r>
        <w:rPr>
          <w:color w:val="000000"/>
          <w:sz w:val="24"/>
        </w:rPr>
        <w:t>1</w:t>
      </w:r>
      <w:r>
        <w:rPr>
          <w:rFonts w:hint="eastAsia"/>
          <w:color w:val="000000"/>
          <w:sz w:val="24"/>
        </w:rPr>
        <w:t>、所有物品自验收合格之日起</w:t>
      </w:r>
      <w:r>
        <w:rPr>
          <w:color w:val="000000"/>
          <w:sz w:val="24"/>
          <w:u w:val="single"/>
        </w:rPr>
        <w:t xml:space="preserve">    </w:t>
      </w:r>
      <w:r>
        <w:rPr>
          <w:rFonts w:hint="eastAsia"/>
          <w:color w:val="000000"/>
          <w:sz w:val="24"/>
        </w:rPr>
        <w:t>年为质保期。质保期内产品（设备）出现质量问题，乙方必须无条件免费维修或更换。</w:t>
      </w:r>
    </w:p>
    <w:p w14:paraId="540553D9">
      <w:pPr>
        <w:pStyle w:val="39"/>
        <w:widowControl/>
        <w:tabs>
          <w:tab w:val="left" w:pos="426"/>
          <w:tab w:val="left" w:pos="567"/>
          <w:tab w:val="left" w:pos="709"/>
        </w:tabs>
        <w:adjustRightInd w:val="0"/>
        <w:snapToGrid w:val="0"/>
        <w:spacing w:line="440" w:lineRule="exact"/>
        <w:ind w:firstLine="484" w:firstLineChars="202"/>
        <w:jc w:val="left"/>
        <w:rPr>
          <w:color w:val="000000"/>
          <w:sz w:val="24"/>
        </w:rPr>
      </w:pPr>
      <w:r>
        <w:rPr>
          <w:color w:val="000000"/>
          <w:sz w:val="24"/>
        </w:rPr>
        <w:t>2</w:t>
      </w:r>
      <w:r>
        <w:rPr>
          <w:rFonts w:hint="eastAsia"/>
          <w:color w:val="000000"/>
          <w:sz w:val="24"/>
        </w:rPr>
        <w:t>、乙方在质保期内接到甲方维修、换货、技术支持等售后服务需求的电话、短信息或电子邮件通知后，乙方需在</w:t>
      </w:r>
      <w:r>
        <w:rPr>
          <w:color w:val="000000"/>
          <w:sz w:val="24"/>
        </w:rPr>
        <w:t>2</w:t>
      </w:r>
      <w:r>
        <w:rPr>
          <w:rFonts w:hint="eastAsia"/>
          <w:color w:val="000000"/>
          <w:sz w:val="24"/>
        </w:rPr>
        <w:t>小时内作出售后服务承诺，并在</w:t>
      </w:r>
      <w:r>
        <w:rPr>
          <w:color w:val="000000"/>
          <w:sz w:val="24"/>
        </w:rPr>
        <w:t>24</w:t>
      </w:r>
      <w:r>
        <w:rPr>
          <w:rFonts w:hint="eastAsia"/>
          <w:color w:val="000000"/>
          <w:sz w:val="24"/>
        </w:rPr>
        <w:t>小时内上门服务。</w:t>
      </w:r>
    </w:p>
    <w:p w14:paraId="1AC49278">
      <w:pPr>
        <w:pStyle w:val="39"/>
        <w:widowControl/>
        <w:tabs>
          <w:tab w:val="left" w:pos="426"/>
          <w:tab w:val="left" w:pos="567"/>
          <w:tab w:val="left" w:pos="709"/>
        </w:tabs>
        <w:adjustRightInd w:val="0"/>
        <w:snapToGrid w:val="0"/>
        <w:spacing w:line="440" w:lineRule="exact"/>
        <w:ind w:firstLine="487" w:firstLineChars="202"/>
        <w:jc w:val="left"/>
        <w:rPr>
          <w:b/>
          <w:bCs/>
          <w:sz w:val="24"/>
        </w:rPr>
      </w:pPr>
      <w:r>
        <w:rPr>
          <w:rFonts w:hint="eastAsia"/>
          <w:b/>
          <w:bCs/>
          <w:sz w:val="24"/>
        </w:rPr>
        <w:t>（备注：《买卖合同》的其他条款详见届时双方签订的合同）</w:t>
      </w:r>
    </w:p>
    <w:p w14:paraId="0151E6C7">
      <w:pPr>
        <w:pStyle w:val="39"/>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20" w:lineRule="exact"/>
        <w:ind w:firstLine="0" w:firstLineChars="0"/>
        <w:rPr>
          <w:b/>
          <w:color w:val="000000"/>
          <w:sz w:val="28"/>
          <w:szCs w:val="28"/>
        </w:rPr>
      </w:pPr>
    </w:p>
    <w:p w14:paraId="643FE37D">
      <w:pPr>
        <w:pStyle w:val="39"/>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20" w:lineRule="exact"/>
        <w:ind w:firstLine="0" w:firstLineChars="0"/>
        <w:rPr>
          <w:b/>
          <w:color w:val="000000"/>
          <w:sz w:val="28"/>
          <w:szCs w:val="28"/>
        </w:rPr>
      </w:pPr>
    </w:p>
    <w:p w14:paraId="4AC264E0">
      <w:pPr>
        <w:pStyle w:val="39"/>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20" w:lineRule="exact"/>
        <w:ind w:firstLine="0" w:firstLineChars="0"/>
        <w:rPr>
          <w:b/>
          <w:color w:val="000000"/>
          <w:sz w:val="28"/>
          <w:szCs w:val="28"/>
          <w:lang w:val="zh-CN"/>
        </w:rPr>
      </w:pPr>
      <w:r>
        <w:rPr>
          <w:rFonts w:hint="eastAsia"/>
          <w:b/>
          <w:color w:val="000000"/>
          <w:sz w:val="28"/>
          <w:szCs w:val="28"/>
          <w:lang w:val="zh-CN"/>
        </w:rPr>
        <w:t>附件</w:t>
      </w:r>
      <w:r>
        <w:rPr>
          <w:b/>
          <w:color w:val="000000"/>
          <w:sz w:val="28"/>
          <w:szCs w:val="28"/>
          <w:lang w:val="zh-CN"/>
        </w:rPr>
        <w:t>2</w:t>
      </w:r>
      <w:r>
        <w:rPr>
          <w:rFonts w:hint="eastAsia"/>
          <w:b/>
          <w:color w:val="000000"/>
          <w:sz w:val="28"/>
          <w:szCs w:val="28"/>
          <w:lang w:val="zh-CN"/>
        </w:rPr>
        <w:t>：谈判申请及声明</w:t>
      </w:r>
    </w:p>
    <w:p w14:paraId="7F171D23">
      <w:pPr>
        <w:autoSpaceDE w:val="0"/>
        <w:autoSpaceDN w:val="0"/>
        <w:adjustRightInd w:val="0"/>
        <w:spacing w:line="520" w:lineRule="exact"/>
        <w:rPr>
          <w:rFonts w:ascii="宋体"/>
          <w:color w:val="000000"/>
          <w:sz w:val="28"/>
          <w:szCs w:val="28"/>
          <w:lang w:val="zh-CN"/>
        </w:rPr>
      </w:pPr>
    </w:p>
    <w:p w14:paraId="48B4CE9F">
      <w:pPr>
        <w:autoSpaceDE w:val="0"/>
        <w:autoSpaceDN w:val="0"/>
        <w:adjustRightInd w:val="0"/>
        <w:spacing w:line="520" w:lineRule="exact"/>
        <w:rPr>
          <w:rFonts w:ascii="宋体"/>
          <w:color w:val="000000"/>
          <w:sz w:val="28"/>
          <w:szCs w:val="28"/>
          <w:lang w:val="zh-CN"/>
        </w:rPr>
      </w:pPr>
      <w:r>
        <w:rPr>
          <w:rFonts w:hint="eastAsia" w:ascii="宋体"/>
          <w:color w:val="000000"/>
          <w:sz w:val="28"/>
          <w:szCs w:val="28"/>
          <w:lang w:val="zh-CN"/>
        </w:rPr>
        <w:t>致：</w:t>
      </w:r>
      <w:r>
        <w:rPr>
          <w:rFonts w:ascii="宋体"/>
          <w:color w:val="000000"/>
          <w:sz w:val="28"/>
          <w:szCs w:val="28"/>
          <w:u w:val="single"/>
          <w:lang w:val="zh-CN"/>
        </w:rPr>
        <w:t xml:space="preserve">                         </w:t>
      </w:r>
      <w:r>
        <w:rPr>
          <w:rFonts w:hint="eastAsia" w:ascii="宋体"/>
          <w:color w:val="000000"/>
          <w:sz w:val="28"/>
          <w:szCs w:val="28"/>
          <w:lang w:val="zh-CN"/>
        </w:rPr>
        <w:t>（竞争性谈判人）</w:t>
      </w:r>
    </w:p>
    <w:p w14:paraId="6D2C1BEA">
      <w:pPr>
        <w:autoSpaceDE w:val="0"/>
        <w:autoSpaceDN w:val="0"/>
        <w:adjustRightInd w:val="0"/>
        <w:spacing w:line="520" w:lineRule="exact"/>
        <w:ind w:left="139" w:leftChars="66" w:firstLine="560" w:firstLineChars="200"/>
        <w:rPr>
          <w:rFonts w:ascii="宋体"/>
          <w:color w:val="000000"/>
          <w:sz w:val="28"/>
          <w:szCs w:val="28"/>
          <w:lang w:val="zh-CN"/>
        </w:rPr>
      </w:pPr>
      <w:r>
        <w:rPr>
          <w:rFonts w:hint="eastAsia" w:ascii="宋体"/>
          <w:color w:val="000000"/>
          <w:sz w:val="28"/>
          <w:szCs w:val="28"/>
          <w:lang w:val="zh-CN"/>
        </w:rPr>
        <w:t>根据贵方项目编号</w:t>
      </w:r>
      <w:r>
        <w:rPr>
          <w:rFonts w:ascii="宋体"/>
          <w:color w:val="000000"/>
          <w:sz w:val="28"/>
          <w:szCs w:val="28"/>
          <w:u w:val="single"/>
          <w:lang w:val="zh-CN"/>
        </w:rPr>
        <w:t xml:space="preserve">        </w:t>
      </w:r>
      <w:r>
        <w:rPr>
          <w:rFonts w:hint="eastAsia" w:ascii="宋体"/>
          <w:color w:val="000000"/>
          <w:sz w:val="28"/>
          <w:szCs w:val="28"/>
          <w:lang w:val="zh-CN"/>
        </w:rPr>
        <w:t>的谈判文件，我方正式提交响应性文件正本壹份，副本</w:t>
      </w:r>
      <w:r>
        <w:rPr>
          <w:rFonts w:hint="eastAsia" w:ascii="宋体"/>
          <w:color w:val="000000"/>
          <w:sz w:val="28"/>
          <w:szCs w:val="28"/>
        </w:rPr>
        <w:t>叁</w:t>
      </w:r>
      <w:r>
        <w:rPr>
          <w:rFonts w:hint="eastAsia" w:ascii="宋体"/>
          <w:color w:val="000000"/>
          <w:sz w:val="28"/>
          <w:szCs w:val="28"/>
          <w:lang w:val="zh-CN"/>
        </w:rPr>
        <w:t>份。</w:t>
      </w:r>
    </w:p>
    <w:p w14:paraId="4C4311B8">
      <w:pPr>
        <w:spacing w:line="520" w:lineRule="exact"/>
        <w:ind w:firstLine="560" w:firstLineChars="200"/>
        <w:rPr>
          <w:rFonts w:ascii="宋体"/>
          <w:sz w:val="28"/>
          <w:szCs w:val="28"/>
        </w:rPr>
      </w:pPr>
      <w:r>
        <w:rPr>
          <w:rFonts w:hint="eastAsia" w:ascii="宋体" w:hAnsi="宋体"/>
          <w:sz w:val="28"/>
          <w:szCs w:val="28"/>
        </w:rPr>
        <w:t>据此函，签字人兹同意如下：</w:t>
      </w:r>
    </w:p>
    <w:p w14:paraId="76079E3E">
      <w:pPr>
        <w:spacing w:line="520" w:lineRule="exact"/>
        <w:ind w:firstLine="560" w:firstLineChars="200"/>
        <w:rPr>
          <w:rFonts w:ascii="宋体"/>
          <w:sz w:val="28"/>
          <w:szCs w:val="28"/>
        </w:rPr>
      </w:pPr>
      <w:r>
        <w:rPr>
          <w:rFonts w:ascii="宋体" w:hAnsi="宋体"/>
          <w:sz w:val="28"/>
          <w:szCs w:val="28"/>
        </w:rPr>
        <w:t>1</w:t>
      </w:r>
      <w:r>
        <w:rPr>
          <w:rFonts w:ascii="宋体"/>
          <w:sz w:val="28"/>
          <w:szCs w:val="28"/>
        </w:rPr>
        <w:t>.</w:t>
      </w:r>
      <w:r>
        <w:rPr>
          <w:rFonts w:hint="eastAsia" w:ascii="宋体" w:hAnsi="宋体"/>
          <w:sz w:val="28"/>
          <w:szCs w:val="28"/>
        </w:rPr>
        <w:t>我方同意提供贵方可能要求的与本次谈判有关的任何证据或资料。</w:t>
      </w:r>
    </w:p>
    <w:p w14:paraId="577422A4">
      <w:pPr>
        <w:spacing w:line="520" w:lineRule="exact"/>
        <w:ind w:firstLine="560" w:firstLineChars="200"/>
        <w:rPr>
          <w:rFonts w:ascii="宋体"/>
          <w:sz w:val="28"/>
          <w:szCs w:val="28"/>
        </w:rPr>
      </w:pPr>
      <w:r>
        <w:rPr>
          <w:rFonts w:ascii="宋体" w:hAnsi="宋体"/>
          <w:sz w:val="28"/>
          <w:szCs w:val="28"/>
        </w:rPr>
        <w:t>2</w:t>
      </w:r>
      <w:r>
        <w:rPr>
          <w:rFonts w:ascii="宋体"/>
          <w:sz w:val="28"/>
          <w:szCs w:val="28"/>
        </w:rPr>
        <w:t>.</w:t>
      </w:r>
      <w:r>
        <w:rPr>
          <w:rFonts w:hint="eastAsia" w:ascii="宋体" w:hAnsi="宋体"/>
          <w:sz w:val="28"/>
          <w:szCs w:val="28"/>
        </w:rPr>
        <w:t>一旦我方成交，我方承诺将根据谈判文件与贵方签订书面合同，并严格履行合同义务。</w:t>
      </w:r>
    </w:p>
    <w:p w14:paraId="75937D3F">
      <w:pPr>
        <w:spacing w:line="520" w:lineRule="exact"/>
        <w:ind w:firstLine="560" w:firstLineChars="200"/>
        <w:rPr>
          <w:rFonts w:ascii="宋体"/>
          <w:sz w:val="28"/>
          <w:szCs w:val="28"/>
        </w:rPr>
      </w:pPr>
      <w:r>
        <w:rPr>
          <w:rFonts w:ascii="宋体" w:hAnsi="宋体"/>
          <w:sz w:val="28"/>
          <w:szCs w:val="28"/>
        </w:rPr>
        <w:t>3</w:t>
      </w:r>
      <w:r>
        <w:rPr>
          <w:rFonts w:ascii="宋体"/>
          <w:sz w:val="28"/>
          <w:szCs w:val="28"/>
        </w:rPr>
        <w:t>.</w:t>
      </w:r>
      <w:r>
        <w:rPr>
          <w:rFonts w:hint="eastAsia" w:ascii="宋体" w:hAnsi="宋体"/>
          <w:sz w:val="28"/>
          <w:szCs w:val="28"/>
        </w:rPr>
        <w:t>我方指派</w:t>
      </w:r>
      <w:r>
        <w:rPr>
          <w:rFonts w:ascii="宋体" w:hAnsi="宋体"/>
          <w:sz w:val="28"/>
          <w:szCs w:val="28"/>
          <w:u w:val="single"/>
        </w:rPr>
        <w:t xml:space="preserve">        </w:t>
      </w:r>
      <w:r>
        <w:rPr>
          <w:rFonts w:hint="eastAsia" w:ascii="宋体" w:hAnsi="宋体"/>
          <w:sz w:val="28"/>
          <w:szCs w:val="28"/>
        </w:rPr>
        <w:t>（姓名）（身份证号码：</w:t>
      </w:r>
      <w:r>
        <w:rPr>
          <w:rFonts w:ascii="宋体" w:hAnsi="宋体"/>
          <w:sz w:val="28"/>
          <w:szCs w:val="28"/>
          <w:u w:val="single"/>
        </w:rPr>
        <w:t xml:space="preserve">                      </w:t>
      </w:r>
      <w:r>
        <w:rPr>
          <w:rFonts w:hint="eastAsia" w:ascii="宋体" w:hAnsi="宋体"/>
          <w:sz w:val="28"/>
          <w:szCs w:val="28"/>
        </w:rPr>
        <w:t>）为我方全权代表，代表我方参加贵方本次项目的竞争性谈判活动，负责处理与本次竞争性谈判相关的一切事宜。</w:t>
      </w:r>
    </w:p>
    <w:p w14:paraId="73394EBF">
      <w:pPr>
        <w:spacing w:line="520" w:lineRule="exact"/>
        <w:ind w:firstLine="560" w:firstLineChars="200"/>
        <w:rPr>
          <w:rFonts w:ascii="宋体"/>
          <w:sz w:val="28"/>
          <w:szCs w:val="28"/>
        </w:rPr>
      </w:pPr>
      <w:r>
        <w:rPr>
          <w:rFonts w:ascii="宋体" w:hAnsi="宋体"/>
          <w:sz w:val="28"/>
          <w:szCs w:val="28"/>
        </w:rPr>
        <w:t>4</w:t>
      </w:r>
      <w:r>
        <w:rPr>
          <w:rFonts w:ascii="宋体"/>
          <w:sz w:val="28"/>
          <w:szCs w:val="28"/>
        </w:rPr>
        <w:t>.</w:t>
      </w:r>
      <w:r>
        <w:rPr>
          <w:rFonts w:hint="eastAsia" w:ascii="宋体" w:hAnsi="宋体"/>
          <w:color w:val="000000"/>
          <w:sz w:val="28"/>
          <w:szCs w:val="28"/>
        </w:rPr>
        <w:t>我方决不提供虚假材料谋取成交，决不采取不正当手段诋毁、排挤其他竞价人，决不与竞争性谈判人、其它竞价人恶意串通，决不向竞争性谈判人及谈判小组进行商业贿赂。如有违反，我方无条件同意贵方不退还我方已交纳的竞争性谈判保证金，赔偿竞争性谈判人因此遭受的全部损失</w:t>
      </w:r>
      <w:r>
        <w:rPr>
          <w:rFonts w:hint="eastAsia" w:ascii="宋体" w:hAnsi="宋体"/>
          <w:sz w:val="28"/>
          <w:szCs w:val="28"/>
        </w:rPr>
        <w:t>，并接受相关管理部门的处罚。</w:t>
      </w:r>
    </w:p>
    <w:p w14:paraId="24AC43A1">
      <w:pPr>
        <w:spacing w:line="520" w:lineRule="exact"/>
        <w:ind w:firstLine="560" w:firstLineChars="200"/>
        <w:rPr>
          <w:rFonts w:ascii="宋体"/>
          <w:sz w:val="28"/>
          <w:szCs w:val="28"/>
        </w:rPr>
      </w:pPr>
      <w:r>
        <w:rPr>
          <w:rFonts w:ascii="宋体" w:hAnsi="宋体"/>
          <w:sz w:val="28"/>
          <w:szCs w:val="28"/>
        </w:rPr>
        <w:t>5</w:t>
      </w:r>
      <w:r>
        <w:rPr>
          <w:rFonts w:ascii="宋体"/>
          <w:sz w:val="28"/>
          <w:szCs w:val="28"/>
        </w:rPr>
        <w:t>.</w:t>
      </w:r>
      <w:r>
        <w:rPr>
          <w:rFonts w:hint="eastAsia" w:ascii="宋体" w:hAnsi="宋体"/>
          <w:sz w:val="28"/>
          <w:szCs w:val="28"/>
        </w:rPr>
        <w:t>与本申请有关的正式通讯地址为：</w:t>
      </w:r>
    </w:p>
    <w:p w14:paraId="718BA72A">
      <w:pPr>
        <w:spacing w:line="520" w:lineRule="exact"/>
        <w:ind w:firstLine="560" w:firstLineChars="200"/>
        <w:rPr>
          <w:rFonts w:ascii="宋体"/>
          <w:sz w:val="28"/>
          <w:szCs w:val="28"/>
          <w:u w:val="single"/>
        </w:rPr>
      </w:pPr>
      <w:r>
        <w:rPr>
          <w:rFonts w:hint="eastAsia" w:ascii="宋体" w:hAnsi="宋体"/>
          <w:sz w:val="28"/>
          <w:szCs w:val="28"/>
        </w:rPr>
        <w:t>地</w:t>
      </w:r>
      <w:r>
        <w:rPr>
          <w:rFonts w:ascii="宋体" w:hAnsi="宋体"/>
          <w:sz w:val="28"/>
          <w:szCs w:val="28"/>
        </w:rPr>
        <w:t xml:space="preserve">   </w:t>
      </w:r>
      <w:r>
        <w:rPr>
          <w:rFonts w:hint="eastAsia" w:ascii="宋体" w:hAnsi="宋体"/>
          <w:sz w:val="28"/>
          <w:szCs w:val="28"/>
        </w:rPr>
        <w:t>址：</w:t>
      </w:r>
      <w:r>
        <w:rPr>
          <w:rFonts w:ascii="宋体" w:hAnsi="宋体"/>
          <w:sz w:val="28"/>
          <w:szCs w:val="28"/>
          <w:u w:val="single"/>
        </w:rPr>
        <w:t xml:space="preserve">                       </w:t>
      </w:r>
    </w:p>
    <w:p w14:paraId="748C2E9A">
      <w:pPr>
        <w:spacing w:line="520" w:lineRule="exact"/>
        <w:ind w:firstLine="560" w:firstLineChars="200"/>
        <w:rPr>
          <w:rFonts w:ascii="宋体"/>
          <w:sz w:val="28"/>
          <w:szCs w:val="28"/>
          <w:u w:val="single"/>
        </w:rPr>
      </w:pPr>
      <w:r>
        <w:rPr>
          <w:rFonts w:hint="eastAsia" w:ascii="宋体" w:hAnsi="宋体"/>
          <w:sz w:val="28"/>
          <w:szCs w:val="28"/>
        </w:rPr>
        <w:t>电</w:t>
      </w:r>
      <w:r>
        <w:rPr>
          <w:rFonts w:ascii="宋体" w:hAnsi="宋体"/>
          <w:sz w:val="28"/>
          <w:szCs w:val="28"/>
        </w:rPr>
        <w:t xml:space="preserve">   </w:t>
      </w:r>
      <w:r>
        <w:rPr>
          <w:rFonts w:hint="eastAsia" w:ascii="宋体" w:hAnsi="宋体"/>
          <w:sz w:val="28"/>
          <w:szCs w:val="28"/>
        </w:rPr>
        <w:t>话：</w:t>
      </w:r>
      <w:r>
        <w:rPr>
          <w:rFonts w:ascii="宋体" w:hAnsi="宋体"/>
          <w:sz w:val="28"/>
          <w:szCs w:val="28"/>
          <w:u w:val="single"/>
        </w:rPr>
        <w:t xml:space="preserve">                       </w:t>
      </w:r>
    </w:p>
    <w:p w14:paraId="29D633CE">
      <w:pPr>
        <w:spacing w:line="520" w:lineRule="exact"/>
        <w:ind w:firstLine="560" w:firstLineChars="200"/>
        <w:rPr>
          <w:rFonts w:ascii="宋体"/>
          <w:sz w:val="28"/>
          <w:szCs w:val="28"/>
          <w:u w:val="single"/>
        </w:rPr>
      </w:pPr>
      <w:r>
        <w:rPr>
          <w:rFonts w:hint="eastAsia" w:ascii="宋体" w:hAnsi="宋体"/>
          <w:sz w:val="28"/>
          <w:szCs w:val="28"/>
        </w:rPr>
        <w:t>传</w:t>
      </w:r>
      <w:r>
        <w:rPr>
          <w:rFonts w:ascii="宋体" w:hAnsi="宋体"/>
          <w:sz w:val="28"/>
          <w:szCs w:val="28"/>
        </w:rPr>
        <w:t xml:space="preserve">   </w:t>
      </w:r>
      <w:r>
        <w:rPr>
          <w:rFonts w:hint="eastAsia" w:ascii="宋体" w:hAnsi="宋体"/>
          <w:sz w:val="28"/>
          <w:szCs w:val="28"/>
        </w:rPr>
        <w:t>真：</w:t>
      </w:r>
      <w:r>
        <w:rPr>
          <w:rFonts w:ascii="宋体" w:hAnsi="宋体"/>
          <w:sz w:val="28"/>
          <w:szCs w:val="28"/>
          <w:u w:val="single"/>
        </w:rPr>
        <w:t xml:space="preserve">                       </w:t>
      </w:r>
    </w:p>
    <w:p w14:paraId="4F08CFEA">
      <w:pPr>
        <w:spacing w:line="520" w:lineRule="exact"/>
        <w:ind w:firstLine="560" w:firstLineChars="200"/>
        <w:rPr>
          <w:rFonts w:ascii="宋体"/>
          <w:sz w:val="28"/>
          <w:szCs w:val="28"/>
        </w:rPr>
      </w:pPr>
      <w:r>
        <w:rPr>
          <w:rFonts w:hint="eastAsia" w:ascii="宋体" w:hAnsi="宋体"/>
          <w:sz w:val="28"/>
          <w:szCs w:val="28"/>
        </w:rPr>
        <w:t>电子邮箱：</w:t>
      </w:r>
      <w:r>
        <w:rPr>
          <w:rFonts w:ascii="宋体" w:hAnsi="宋体"/>
          <w:sz w:val="28"/>
          <w:szCs w:val="28"/>
          <w:u w:val="single"/>
        </w:rPr>
        <w:t xml:space="preserve">                      </w:t>
      </w:r>
    </w:p>
    <w:p w14:paraId="3F4F940A">
      <w:pPr>
        <w:spacing w:line="520" w:lineRule="exact"/>
        <w:ind w:firstLine="560" w:firstLineChars="200"/>
        <w:rPr>
          <w:rFonts w:ascii="宋体" w:hAnsi="宋体"/>
          <w:sz w:val="28"/>
          <w:szCs w:val="28"/>
          <w:u w:val="single"/>
        </w:rPr>
      </w:pPr>
      <w:r>
        <w:rPr>
          <w:rFonts w:hint="eastAsia" w:ascii="宋体" w:hAnsi="宋体"/>
          <w:sz w:val="28"/>
          <w:szCs w:val="28"/>
        </w:rPr>
        <w:t>法定代表人（签字）：</w:t>
      </w:r>
      <w:r>
        <w:rPr>
          <w:rFonts w:ascii="宋体" w:hAnsi="宋体"/>
          <w:sz w:val="28"/>
          <w:szCs w:val="28"/>
          <w:u w:val="single"/>
        </w:rPr>
        <w:t xml:space="preserve">           </w:t>
      </w:r>
    </w:p>
    <w:p w14:paraId="714530CC">
      <w:pPr>
        <w:spacing w:line="520" w:lineRule="exact"/>
        <w:ind w:firstLine="560" w:firstLineChars="200"/>
        <w:rPr>
          <w:rFonts w:ascii="宋体"/>
          <w:sz w:val="28"/>
          <w:szCs w:val="28"/>
        </w:rPr>
      </w:pPr>
      <w:r>
        <w:rPr>
          <w:rFonts w:hint="eastAsia" w:ascii="宋体" w:hAnsi="宋体"/>
          <w:sz w:val="28"/>
          <w:szCs w:val="28"/>
        </w:rPr>
        <w:t>竞价人（盖章）：</w:t>
      </w:r>
      <w:r>
        <w:rPr>
          <w:rFonts w:ascii="宋体" w:hAnsi="宋体"/>
          <w:sz w:val="28"/>
          <w:szCs w:val="28"/>
          <w:u w:val="single"/>
        </w:rPr>
        <w:t xml:space="preserve">            </w:t>
      </w:r>
    </w:p>
    <w:p w14:paraId="5A456B37">
      <w:pPr>
        <w:pStyle w:val="39"/>
        <w:widowControl/>
        <w:tabs>
          <w:tab w:val="left" w:pos="426"/>
          <w:tab w:val="left" w:pos="567"/>
          <w:tab w:val="left" w:pos="709"/>
        </w:tabs>
        <w:adjustRightInd w:val="0"/>
        <w:snapToGrid w:val="0"/>
        <w:spacing w:line="440" w:lineRule="exact"/>
        <w:ind w:firstLine="560"/>
        <w:jc w:val="left"/>
        <w:rPr>
          <w:sz w:val="28"/>
          <w:szCs w:val="28"/>
        </w:rPr>
      </w:pPr>
      <w:r>
        <w:rPr>
          <w:rFonts w:hint="eastAsia"/>
          <w:sz w:val="28"/>
          <w:szCs w:val="28"/>
        </w:rPr>
        <w:t>日</w:t>
      </w:r>
      <w:r>
        <w:rPr>
          <w:sz w:val="28"/>
          <w:szCs w:val="28"/>
        </w:rPr>
        <w:t xml:space="preserve">    </w:t>
      </w:r>
      <w:r>
        <w:rPr>
          <w:rFonts w:hint="eastAsia"/>
          <w:sz w:val="28"/>
          <w:szCs w:val="28"/>
        </w:rPr>
        <w:t>期：</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14:paraId="778A434A">
      <w:pPr>
        <w:pStyle w:val="39"/>
        <w:widowControl/>
        <w:tabs>
          <w:tab w:val="left" w:pos="426"/>
          <w:tab w:val="left" w:pos="567"/>
          <w:tab w:val="left" w:pos="709"/>
        </w:tabs>
        <w:adjustRightInd w:val="0"/>
        <w:snapToGrid w:val="0"/>
        <w:spacing w:line="440" w:lineRule="exact"/>
        <w:ind w:firstLine="0" w:firstLineChars="0"/>
        <w:jc w:val="left"/>
        <w:rPr>
          <w:b/>
          <w:color w:val="000000"/>
          <w:sz w:val="28"/>
          <w:szCs w:val="28"/>
        </w:rPr>
      </w:pPr>
    </w:p>
    <w:p w14:paraId="1C5F6BBF">
      <w:pPr>
        <w:pStyle w:val="39"/>
        <w:widowControl/>
        <w:tabs>
          <w:tab w:val="left" w:pos="426"/>
          <w:tab w:val="left" w:pos="567"/>
          <w:tab w:val="left" w:pos="709"/>
        </w:tabs>
        <w:adjustRightInd w:val="0"/>
        <w:snapToGrid w:val="0"/>
        <w:spacing w:line="440" w:lineRule="exact"/>
        <w:ind w:firstLine="0" w:firstLineChars="0"/>
        <w:jc w:val="left"/>
        <w:rPr>
          <w:b/>
          <w:color w:val="000000"/>
          <w:sz w:val="28"/>
          <w:szCs w:val="28"/>
        </w:rPr>
      </w:pPr>
    </w:p>
    <w:p w14:paraId="4859C4EB">
      <w:pPr>
        <w:pStyle w:val="39"/>
        <w:widowControl/>
        <w:tabs>
          <w:tab w:val="left" w:pos="426"/>
          <w:tab w:val="left" w:pos="567"/>
          <w:tab w:val="left" w:pos="709"/>
        </w:tabs>
        <w:adjustRightInd w:val="0"/>
        <w:snapToGrid w:val="0"/>
        <w:spacing w:line="440" w:lineRule="exact"/>
        <w:ind w:firstLine="0" w:firstLineChars="0"/>
        <w:jc w:val="left"/>
        <w:rPr>
          <w:b/>
          <w:color w:val="000000"/>
          <w:sz w:val="28"/>
          <w:szCs w:val="28"/>
        </w:rPr>
      </w:pPr>
      <w:r>
        <w:rPr>
          <w:rFonts w:hint="eastAsia"/>
          <w:b/>
          <w:color w:val="000000"/>
          <w:sz w:val="28"/>
          <w:szCs w:val="28"/>
        </w:rPr>
        <w:t>附件</w:t>
      </w:r>
      <w:r>
        <w:rPr>
          <w:b/>
          <w:color w:val="000000"/>
          <w:sz w:val="28"/>
          <w:szCs w:val="28"/>
        </w:rPr>
        <w:t>3</w:t>
      </w:r>
      <w:r>
        <w:rPr>
          <w:rFonts w:hint="eastAsia"/>
          <w:b/>
          <w:color w:val="000000"/>
          <w:sz w:val="28"/>
          <w:szCs w:val="28"/>
        </w:rPr>
        <w:t>：法定代表人授权委托书</w:t>
      </w:r>
    </w:p>
    <w:p w14:paraId="5EC073D7">
      <w:pPr>
        <w:pStyle w:val="5"/>
        <w:adjustRightInd w:val="0"/>
        <w:snapToGrid w:val="0"/>
        <w:spacing w:line="300" w:lineRule="auto"/>
        <w:jc w:val="center"/>
        <w:rPr>
          <w:rFonts w:hAnsi="宋体"/>
          <w:b/>
          <w:sz w:val="28"/>
          <w:szCs w:val="28"/>
        </w:rPr>
      </w:pPr>
    </w:p>
    <w:p w14:paraId="023432BE">
      <w:pPr>
        <w:pStyle w:val="5"/>
        <w:adjustRightInd w:val="0"/>
        <w:snapToGrid w:val="0"/>
        <w:spacing w:line="300" w:lineRule="auto"/>
        <w:jc w:val="center"/>
        <w:rPr>
          <w:rFonts w:hAnsi="宋体"/>
          <w:b/>
          <w:sz w:val="28"/>
          <w:szCs w:val="28"/>
        </w:rPr>
      </w:pPr>
      <w:r>
        <w:rPr>
          <w:rFonts w:hint="eastAsia" w:hAnsi="宋体"/>
          <w:b/>
          <w:sz w:val="28"/>
          <w:szCs w:val="28"/>
        </w:rPr>
        <w:t>法定代表人授权委托书</w:t>
      </w:r>
    </w:p>
    <w:p w14:paraId="0A8133C6">
      <w:pPr>
        <w:pStyle w:val="5"/>
        <w:adjustRightInd w:val="0"/>
        <w:snapToGrid w:val="0"/>
        <w:spacing w:line="300" w:lineRule="auto"/>
        <w:jc w:val="center"/>
        <w:rPr>
          <w:rFonts w:hAnsi="宋体"/>
          <w:b/>
          <w:sz w:val="28"/>
          <w:szCs w:val="28"/>
        </w:rPr>
      </w:pPr>
    </w:p>
    <w:p w14:paraId="2D52B628">
      <w:pPr>
        <w:pStyle w:val="5"/>
        <w:adjustRightInd w:val="0"/>
        <w:snapToGrid w:val="0"/>
        <w:spacing w:line="300" w:lineRule="auto"/>
        <w:ind w:firstLine="560" w:firstLineChars="200"/>
        <w:jc w:val="both"/>
        <w:rPr>
          <w:rFonts w:hAnsi="宋体"/>
          <w:sz w:val="28"/>
          <w:szCs w:val="28"/>
        </w:rPr>
      </w:pPr>
      <w:r>
        <w:rPr>
          <w:rFonts w:hint="eastAsia" w:hAnsi="宋体"/>
          <w:sz w:val="28"/>
          <w:szCs w:val="28"/>
        </w:rPr>
        <w:t>本授权委托书声明：我</w:t>
      </w:r>
      <w:r>
        <w:rPr>
          <w:rFonts w:hAnsi="宋体"/>
          <w:sz w:val="28"/>
          <w:szCs w:val="28"/>
          <w:u w:val="single"/>
        </w:rPr>
        <w:t xml:space="preserve">        </w:t>
      </w:r>
      <w:r>
        <w:rPr>
          <w:rFonts w:hAnsi="宋体"/>
          <w:sz w:val="28"/>
          <w:szCs w:val="28"/>
        </w:rPr>
        <w:t xml:space="preserve"> (</w:t>
      </w:r>
      <w:r>
        <w:rPr>
          <w:rFonts w:hint="eastAsia" w:hAnsi="宋体"/>
          <w:sz w:val="28"/>
          <w:szCs w:val="28"/>
        </w:rPr>
        <w:t>姓名</w:t>
      </w:r>
      <w:r>
        <w:rPr>
          <w:rFonts w:hAnsi="宋体"/>
          <w:sz w:val="28"/>
          <w:szCs w:val="28"/>
        </w:rPr>
        <w:t>)</w:t>
      </w:r>
      <w:r>
        <w:rPr>
          <w:rFonts w:hint="eastAsia" w:hAnsi="宋体"/>
          <w:sz w:val="28"/>
          <w:szCs w:val="28"/>
        </w:rPr>
        <w:t>（身份证号码：</w:t>
      </w:r>
      <w:r>
        <w:rPr>
          <w:rFonts w:hAnsi="宋体"/>
          <w:sz w:val="28"/>
          <w:szCs w:val="28"/>
          <w:u w:val="single"/>
        </w:rPr>
        <w:t xml:space="preserve">                 </w:t>
      </w:r>
      <w:r>
        <w:rPr>
          <w:rFonts w:hint="eastAsia" w:hAnsi="宋体"/>
          <w:sz w:val="28"/>
          <w:szCs w:val="28"/>
        </w:rPr>
        <w:t>）系</w:t>
      </w:r>
    </w:p>
    <w:p w14:paraId="0A6EB54C">
      <w:pPr>
        <w:pStyle w:val="5"/>
        <w:adjustRightInd w:val="0"/>
        <w:snapToGrid w:val="0"/>
        <w:spacing w:line="300" w:lineRule="auto"/>
        <w:jc w:val="both"/>
        <w:rPr>
          <w:rFonts w:hAnsi="宋体"/>
          <w:sz w:val="28"/>
          <w:szCs w:val="28"/>
        </w:rPr>
      </w:pPr>
      <w:r>
        <w:rPr>
          <w:rFonts w:hAnsi="宋体"/>
          <w:sz w:val="28"/>
          <w:szCs w:val="28"/>
          <w:u w:val="single"/>
        </w:rPr>
        <w:t xml:space="preserve">               </w:t>
      </w:r>
      <w:r>
        <w:rPr>
          <w:rFonts w:hAnsi="宋体"/>
          <w:sz w:val="28"/>
          <w:szCs w:val="28"/>
        </w:rPr>
        <w:t>(</w:t>
      </w:r>
      <w:r>
        <w:rPr>
          <w:rFonts w:hint="eastAsia" w:hAnsi="宋体"/>
          <w:sz w:val="28"/>
          <w:szCs w:val="28"/>
        </w:rPr>
        <w:t>竞价人名称</w:t>
      </w:r>
      <w:r>
        <w:rPr>
          <w:rFonts w:hAnsi="宋体"/>
          <w:sz w:val="28"/>
          <w:szCs w:val="28"/>
        </w:rPr>
        <w:t>)</w:t>
      </w:r>
      <w:r>
        <w:rPr>
          <w:rFonts w:hint="eastAsia" w:hAnsi="宋体"/>
          <w:sz w:val="28"/>
          <w:szCs w:val="28"/>
        </w:rPr>
        <w:t>的法定代表人，现授权委托</w:t>
      </w:r>
      <w:r>
        <w:rPr>
          <w:rFonts w:hAnsi="宋体"/>
          <w:sz w:val="28"/>
          <w:szCs w:val="28"/>
        </w:rPr>
        <w:t xml:space="preserve"> </w:t>
      </w:r>
      <w:r>
        <w:rPr>
          <w:rFonts w:hAnsi="宋体"/>
          <w:sz w:val="28"/>
          <w:szCs w:val="28"/>
          <w:u w:val="single"/>
        </w:rPr>
        <w:t xml:space="preserve">          </w:t>
      </w:r>
      <w:r>
        <w:rPr>
          <w:rFonts w:hAnsi="宋体"/>
          <w:sz w:val="28"/>
          <w:szCs w:val="28"/>
        </w:rPr>
        <w:t>(</w:t>
      </w:r>
      <w:r>
        <w:rPr>
          <w:rFonts w:hint="eastAsia" w:hAnsi="宋体"/>
          <w:sz w:val="28"/>
          <w:szCs w:val="28"/>
        </w:rPr>
        <w:t>姓名</w:t>
      </w:r>
      <w:r>
        <w:rPr>
          <w:rFonts w:hAnsi="宋体"/>
          <w:sz w:val="28"/>
          <w:szCs w:val="28"/>
        </w:rPr>
        <w:t>)</w:t>
      </w:r>
      <w:r>
        <w:rPr>
          <w:rFonts w:hint="eastAsia" w:hAnsi="宋体"/>
          <w:sz w:val="28"/>
          <w:szCs w:val="28"/>
        </w:rPr>
        <w:t>（身份证号码：</w:t>
      </w:r>
      <w:r>
        <w:rPr>
          <w:rFonts w:hAnsi="宋体"/>
          <w:sz w:val="28"/>
          <w:szCs w:val="28"/>
          <w:u w:val="single"/>
        </w:rPr>
        <w:t xml:space="preserve">                     </w:t>
      </w:r>
      <w:r>
        <w:rPr>
          <w:rFonts w:hint="eastAsia" w:hAnsi="宋体"/>
          <w:sz w:val="28"/>
          <w:szCs w:val="28"/>
        </w:rPr>
        <w:t>）为我公司代理人，参加</w:t>
      </w:r>
      <w:r>
        <w:rPr>
          <w:rFonts w:hAnsi="宋体"/>
          <w:sz w:val="28"/>
          <w:szCs w:val="28"/>
          <w:u w:val="single"/>
        </w:rPr>
        <w:t xml:space="preserve">          </w:t>
      </w:r>
      <w:r>
        <w:rPr>
          <w:rFonts w:hAnsi="宋体"/>
          <w:sz w:val="28"/>
          <w:szCs w:val="28"/>
        </w:rPr>
        <w:t>(</w:t>
      </w:r>
      <w:r>
        <w:rPr>
          <w:rFonts w:hint="eastAsia" w:hAnsi="宋体"/>
          <w:sz w:val="28"/>
          <w:szCs w:val="28"/>
        </w:rPr>
        <w:t>竞争性谈判人</w:t>
      </w:r>
      <w:r>
        <w:rPr>
          <w:rFonts w:hAnsi="宋体"/>
          <w:sz w:val="28"/>
          <w:szCs w:val="28"/>
        </w:rPr>
        <w:t>)</w:t>
      </w:r>
      <w:r>
        <w:rPr>
          <w:rFonts w:hint="eastAsia" w:hAnsi="宋体"/>
          <w:sz w:val="28"/>
          <w:szCs w:val="28"/>
        </w:rPr>
        <w:t>的</w:t>
      </w:r>
      <w:r>
        <w:rPr>
          <w:rFonts w:hAnsi="宋体"/>
          <w:sz w:val="28"/>
          <w:szCs w:val="28"/>
          <w:u w:val="single"/>
        </w:rPr>
        <w:t xml:space="preserve">                    </w:t>
      </w:r>
      <w:r>
        <w:rPr>
          <w:rFonts w:hint="eastAsia" w:hAnsi="宋体"/>
          <w:sz w:val="28"/>
          <w:szCs w:val="28"/>
        </w:rPr>
        <w:t>竞争性谈判活动。代理人在谈判、合同签订过程中所签署的一切文件和处理与之有关的一切事务，我本人及我单位均予以承认并承担与之相关的一切法律后果。</w:t>
      </w:r>
    </w:p>
    <w:p w14:paraId="24A71E2D">
      <w:pPr>
        <w:pStyle w:val="5"/>
        <w:adjustRightInd w:val="0"/>
        <w:snapToGrid w:val="0"/>
        <w:spacing w:line="300" w:lineRule="auto"/>
        <w:rPr>
          <w:rFonts w:hAnsi="宋体"/>
          <w:sz w:val="28"/>
          <w:szCs w:val="28"/>
        </w:rPr>
      </w:pPr>
    </w:p>
    <w:p w14:paraId="767410F6">
      <w:pPr>
        <w:pStyle w:val="5"/>
        <w:adjustRightInd w:val="0"/>
        <w:snapToGrid w:val="0"/>
        <w:spacing w:line="300" w:lineRule="auto"/>
        <w:ind w:left="412"/>
        <w:rPr>
          <w:rFonts w:hAnsi="宋体"/>
          <w:sz w:val="28"/>
          <w:szCs w:val="28"/>
        </w:rPr>
      </w:pPr>
      <w:r>
        <w:rPr>
          <w:rFonts w:hint="eastAsia" w:hAnsi="宋体"/>
          <w:sz w:val="28"/>
          <w:szCs w:val="28"/>
        </w:rPr>
        <w:t>代理人无转委权。特此委托。</w:t>
      </w:r>
    </w:p>
    <w:p w14:paraId="2B573CE8">
      <w:pPr>
        <w:pStyle w:val="5"/>
        <w:adjustRightInd w:val="0"/>
        <w:snapToGrid w:val="0"/>
        <w:spacing w:line="300" w:lineRule="auto"/>
        <w:ind w:left="412"/>
        <w:rPr>
          <w:rFonts w:hAnsi="宋体"/>
          <w:sz w:val="28"/>
          <w:szCs w:val="28"/>
        </w:rPr>
      </w:pPr>
      <w:r>
        <w:rPr>
          <w:rFonts w:hint="eastAsia" w:hAnsi="宋体"/>
          <w:sz w:val="28"/>
          <w:szCs w:val="28"/>
        </w:rPr>
        <w:t>代理人：</w:t>
      </w:r>
      <w:r>
        <w:rPr>
          <w:rFonts w:hAnsi="宋体"/>
          <w:sz w:val="28"/>
          <w:szCs w:val="28"/>
        </w:rPr>
        <w:t xml:space="preserve">             </w:t>
      </w:r>
      <w:r>
        <w:rPr>
          <w:rFonts w:hint="eastAsia" w:hAnsi="宋体"/>
          <w:sz w:val="28"/>
          <w:szCs w:val="28"/>
        </w:rPr>
        <w:t>性别：</w:t>
      </w:r>
      <w:r>
        <w:rPr>
          <w:rFonts w:hAnsi="宋体"/>
          <w:sz w:val="28"/>
          <w:szCs w:val="28"/>
        </w:rPr>
        <w:t xml:space="preserve">                 </w:t>
      </w:r>
      <w:r>
        <w:rPr>
          <w:rFonts w:hint="eastAsia" w:hAnsi="宋体"/>
          <w:sz w:val="28"/>
          <w:szCs w:val="28"/>
        </w:rPr>
        <w:t>年龄：</w:t>
      </w:r>
    </w:p>
    <w:p w14:paraId="12B0B9AB">
      <w:pPr>
        <w:pStyle w:val="5"/>
        <w:adjustRightInd w:val="0"/>
        <w:snapToGrid w:val="0"/>
        <w:spacing w:line="300" w:lineRule="auto"/>
        <w:ind w:firstLine="420"/>
        <w:rPr>
          <w:rFonts w:hAnsi="宋体"/>
          <w:sz w:val="28"/>
          <w:szCs w:val="28"/>
        </w:rPr>
      </w:pPr>
      <w:r>
        <w:rPr>
          <w:rFonts w:hint="eastAsia" w:hAnsi="宋体"/>
          <w:sz w:val="28"/>
          <w:szCs w:val="28"/>
        </w:rPr>
        <w:t>单位：</w:t>
      </w:r>
      <w:r>
        <w:rPr>
          <w:rFonts w:hAnsi="宋体"/>
          <w:sz w:val="28"/>
          <w:szCs w:val="28"/>
        </w:rPr>
        <w:t xml:space="preserve">               </w:t>
      </w:r>
      <w:r>
        <w:rPr>
          <w:rFonts w:hint="eastAsia" w:hAnsi="宋体"/>
          <w:sz w:val="28"/>
          <w:szCs w:val="28"/>
        </w:rPr>
        <w:t>部门：</w:t>
      </w:r>
      <w:r>
        <w:rPr>
          <w:rFonts w:hAnsi="宋体"/>
          <w:sz w:val="28"/>
          <w:szCs w:val="28"/>
        </w:rPr>
        <w:t xml:space="preserve">                 </w:t>
      </w:r>
      <w:r>
        <w:rPr>
          <w:rFonts w:hint="eastAsia" w:hAnsi="宋体"/>
          <w:sz w:val="28"/>
          <w:szCs w:val="28"/>
        </w:rPr>
        <w:t>职务：</w:t>
      </w:r>
    </w:p>
    <w:p w14:paraId="04F38F73">
      <w:pPr>
        <w:pStyle w:val="5"/>
        <w:adjustRightInd w:val="0"/>
        <w:snapToGrid w:val="0"/>
        <w:spacing w:line="300" w:lineRule="auto"/>
        <w:ind w:firstLine="420"/>
        <w:rPr>
          <w:rFonts w:hAnsi="宋体"/>
          <w:sz w:val="28"/>
          <w:szCs w:val="28"/>
        </w:rPr>
      </w:pPr>
      <w:r>
        <w:rPr>
          <w:rFonts w:hint="eastAsia" w:hAnsi="宋体"/>
          <w:sz w:val="28"/>
          <w:szCs w:val="28"/>
        </w:rPr>
        <w:t>竞价人：</w:t>
      </w:r>
      <w:r>
        <w:rPr>
          <w:rFonts w:hAnsi="宋体"/>
          <w:sz w:val="28"/>
          <w:szCs w:val="28"/>
        </w:rPr>
        <w:t>(</w:t>
      </w:r>
      <w:r>
        <w:rPr>
          <w:rFonts w:hint="eastAsia" w:hAnsi="宋体"/>
          <w:sz w:val="28"/>
          <w:szCs w:val="28"/>
        </w:rPr>
        <w:t>盖章</w:t>
      </w:r>
      <w:r>
        <w:rPr>
          <w:rFonts w:hAnsi="宋体"/>
          <w:sz w:val="28"/>
          <w:szCs w:val="28"/>
        </w:rPr>
        <w:t>)</w:t>
      </w:r>
    </w:p>
    <w:p w14:paraId="71FA4876">
      <w:pPr>
        <w:pStyle w:val="5"/>
        <w:adjustRightInd w:val="0"/>
        <w:snapToGrid w:val="0"/>
        <w:spacing w:line="300" w:lineRule="auto"/>
        <w:ind w:firstLine="420"/>
        <w:rPr>
          <w:rFonts w:hAnsi="宋体"/>
          <w:sz w:val="28"/>
          <w:szCs w:val="28"/>
        </w:rPr>
      </w:pPr>
      <w:r>
        <w:rPr>
          <w:rFonts w:hint="eastAsia" w:hAnsi="宋体"/>
          <w:sz w:val="28"/>
          <w:szCs w:val="28"/>
        </w:rPr>
        <w:t>法定代表人：</w:t>
      </w:r>
      <w:r>
        <w:rPr>
          <w:rFonts w:hAnsi="宋体"/>
          <w:sz w:val="28"/>
          <w:szCs w:val="28"/>
        </w:rPr>
        <w:t>(</w:t>
      </w:r>
      <w:r>
        <w:rPr>
          <w:rFonts w:hint="eastAsia" w:hAnsi="宋体"/>
          <w:sz w:val="28"/>
          <w:szCs w:val="28"/>
        </w:rPr>
        <w:t>签字或盖章</w:t>
      </w:r>
      <w:r>
        <w:rPr>
          <w:rFonts w:hAnsi="宋体"/>
          <w:sz w:val="28"/>
          <w:szCs w:val="28"/>
        </w:rPr>
        <w:t>)</w:t>
      </w:r>
    </w:p>
    <w:p w14:paraId="780DCFF6">
      <w:pPr>
        <w:pStyle w:val="5"/>
        <w:adjustRightInd w:val="0"/>
        <w:snapToGrid w:val="0"/>
        <w:spacing w:line="300" w:lineRule="auto"/>
        <w:rPr>
          <w:rFonts w:hAnsi="宋体"/>
          <w:sz w:val="28"/>
          <w:szCs w:val="28"/>
        </w:rPr>
      </w:pPr>
    </w:p>
    <w:p w14:paraId="2D469CF7">
      <w:pPr>
        <w:pStyle w:val="5"/>
        <w:adjustRightInd w:val="0"/>
        <w:snapToGrid w:val="0"/>
        <w:spacing w:line="300" w:lineRule="auto"/>
        <w:jc w:val="right"/>
        <w:rPr>
          <w:rFonts w:hAnsi="宋体"/>
          <w:sz w:val="28"/>
          <w:szCs w:val="28"/>
        </w:rPr>
      </w:pPr>
      <w:r>
        <w:rPr>
          <w:rFonts w:hint="eastAsia" w:hAnsi="宋体"/>
          <w:sz w:val="28"/>
          <w:szCs w:val="28"/>
        </w:rPr>
        <w:t>日期：</w:t>
      </w:r>
      <w:r>
        <w:rPr>
          <w:rFonts w:hAnsi="宋体"/>
          <w:sz w:val="28"/>
          <w:szCs w:val="28"/>
          <w:u w:val="single"/>
        </w:rPr>
        <w:t xml:space="preserve">      </w:t>
      </w:r>
      <w:r>
        <w:rPr>
          <w:rFonts w:hint="eastAsia" w:hAnsi="宋体"/>
          <w:sz w:val="28"/>
          <w:szCs w:val="28"/>
        </w:rPr>
        <w:t>年</w:t>
      </w:r>
      <w:r>
        <w:rPr>
          <w:rFonts w:hAnsi="宋体"/>
          <w:sz w:val="28"/>
          <w:szCs w:val="28"/>
          <w:u w:val="single"/>
        </w:rPr>
        <w:t xml:space="preserve">    </w:t>
      </w:r>
      <w:r>
        <w:rPr>
          <w:rFonts w:hint="eastAsia" w:hAnsi="宋体"/>
          <w:sz w:val="28"/>
          <w:szCs w:val="28"/>
        </w:rPr>
        <w:t>月</w:t>
      </w:r>
      <w:r>
        <w:rPr>
          <w:rFonts w:hAnsi="宋体"/>
          <w:sz w:val="28"/>
          <w:szCs w:val="28"/>
          <w:u w:val="single"/>
        </w:rPr>
        <w:t xml:space="preserve">    </w:t>
      </w:r>
      <w:r>
        <w:rPr>
          <w:rFonts w:hint="eastAsia" w:hAnsi="宋体"/>
          <w:sz w:val="28"/>
          <w:szCs w:val="28"/>
        </w:rPr>
        <w:t>日</w:t>
      </w:r>
    </w:p>
    <w:p w14:paraId="78631DE1">
      <w:pPr>
        <w:rPr>
          <w:rFonts w:ascii="黑体" w:hAnsi="宋体" w:eastAsia="黑体"/>
          <w:sz w:val="28"/>
          <w:szCs w:val="28"/>
        </w:rPr>
      </w:pPr>
    </w:p>
    <w:p w14:paraId="2FBA9F64">
      <w:pPr>
        <w:jc w:val="center"/>
        <w:rPr>
          <w:rFonts w:ascii="宋体"/>
          <w:sz w:val="28"/>
          <w:szCs w:val="28"/>
        </w:rPr>
      </w:pPr>
      <w:r>
        <w:rPr>
          <w:rFonts w:hint="eastAsia" w:ascii="宋体" w:hAnsi="宋体"/>
          <w:sz w:val="28"/>
          <w:szCs w:val="28"/>
        </w:rPr>
        <w:t>（粘贴双方身份证复印件）</w:t>
      </w:r>
    </w:p>
    <w:sectPr>
      <w:headerReference r:id="rId3" w:type="default"/>
      <w:footerReference r:id="rId4" w:type="default"/>
      <w:footerReference r:id="rId5" w:type="even"/>
      <w:pgSz w:w="11906" w:h="16838"/>
      <w:pgMar w:top="567" w:right="851" w:bottom="663"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19D42">
    <w:pPr>
      <w:pStyle w:val="9"/>
      <w:jc w:val="center"/>
    </w:pPr>
    <w:r>
      <w:fldChar w:fldCharType="begin"/>
    </w:r>
    <w:r>
      <w:instrText xml:space="preserve"> PAGE   \* MERGEFORMAT </w:instrText>
    </w:r>
    <w:r>
      <w:fldChar w:fldCharType="separate"/>
    </w:r>
    <w:r>
      <w:rPr>
        <w:lang w:val="zh-CN"/>
      </w:rPr>
      <w:t>12</w:t>
    </w:r>
    <w:r>
      <w:fldChar w:fldCharType="end"/>
    </w:r>
  </w:p>
  <w:p w14:paraId="2AE95138">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9BB7C">
    <w:pPr>
      <w:pStyle w:val="9"/>
      <w:framePr w:wrap="around" w:vAnchor="text" w:hAnchor="margin" w:xAlign="center" w:y="1"/>
      <w:rPr>
        <w:rStyle w:val="19"/>
      </w:rPr>
    </w:pPr>
    <w:r>
      <w:fldChar w:fldCharType="begin"/>
    </w:r>
    <w:r>
      <w:rPr>
        <w:rStyle w:val="19"/>
      </w:rPr>
      <w:instrText xml:space="preserve">PAGE  </w:instrText>
    </w:r>
    <w:r>
      <w:fldChar w:fldCharType="end"/>
    </w:r>
  </w:p>
  <w:p w14:paraId="2CAEF51D">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24707">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B0A86D"/>
    <w:multiLevelType w:val="singleLevel"/>
    <w:tmpl w:val="94B0A86D"/>
    <w:lvl w:ilvl="0" w:tentative="0">
      <w:start w:val="1"/>
      <w:numFmt w:val="decimal"/>
      <w:suff w:val="nothing"/>
      <w:lvlText w:val="%1、"/>
      <w:lvlJc w:val="left"/>
    </w:lvl>
  </w:abstractNum>
  <w:abstractNum w:abstractNumId="1">
    <w:nsid w:val="E51EDDDD"/>
    <w:multiLevelType w:val="singleLevel"/>
    <w:tmpl w:val="E51EDDD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0ODUyNjNkNDczY2NkNWRkMWQyZjc1ZTBkNjZmZmUifQ=="/>
  </w:docVars>
  <w:rsids>
    <w:rsidRoot w:val="00172A27"/>
    <w:rsid w:val="00000AA8"/>
    <w:rsid w:val="00022E74"/>
    <w:rsid w:val="000D214B"/>
    <w:rsid w:val="001100DA"/>
    <w:rsid w:val="0015244C"/>
    <w:rsid w:val="00172A27"/>
    <w:rsid w:val="00187F89"/>
    <w:rsid w:val="001D5E17"/>
    <w:rsid w:val="001E029A"/>
    <w:rsid w:val="00230624"/>
    <w:rsid w:val="002420EB"/>
    <w:rsid w:val="0026015C"/>
    <w:rsid w:val="002E533A"/>
    <w:rsid w:val="0039199A"/>
    <w:rsid w:val="00472D78"/>
    <w:rsid w:val="005168DA"/>
    <w:rsid w:val="005E5D5F"/>
    <w:rsid w:val="0075671E"/>
    <w:rsid w:val="007D435E"/>
    <w:rsid w:val="00852739"/>
    <w:rsid w:val="0085612A"/>
    <w:rsid w:val="0087375E"/>
    <w:rsid w:val="008B429B"/>
    <w:rsid w:val="0091124D"/>
    <w:rsid w:val="009542B6"/>
    <w:rsid w:val="00A00673"/>
    <w:rsid w:val="00A75916"/>
    <w:rsid w:val="00A76696"/>
    <w:rsid w:val="00B011E6"/>
    <w:rsid w:val="00B670E7"/>
    <w:rsid w:val="00C14B36"/>
    <w:rsid w:val="00CF1EBA"/>
    <w:rsid w:val="00DE01A9"/>
    <w:rsid w:val="00E27BA1"/>
    <w:rsid w:val="00F127C1"/>
    <w:rsid w:val="00F8310A"/>
    <w:rsid w:val="00F9246C"/>
    <w:rsid w:val="00FC1BF0"/>
    <w:rsid w:val="051D78AB"/>
    <w:rsid w:val="15345A14"/>
    <w:rsid w:val="15915E53"/>
    <w:rsid w:val="18D85D59"/>
    <w:rsid w:val="25C048C7"/>
    <w:rsid w:val="28EE700A"/>
    <w:rsid w:val="28FE248C"/>
    <w:rsid w:val="29CC1191"/>
    <w:rsid w:val="2BA81128"/>
    <w:rsid w:val="31426D6B"/>
    <w:rsid w:val="33A1555B"/>
    <w:rsid w:val="36D37BAE"/>
    <w:rsid w:val="3A26548A"/>
    <w:rsid w:val="3F6D27F1"/>
    <w:rsid w:val="419F7745"/>
    <w:rsid w:val="445F1AB3"/>
    <w:rsid w:val="478B4C6E"/>
    <w:rsid w:val="48986993"/>
    <w:rsid w:val="57083B44"/>
    <w:rsid w:val="5A845A25"/>
    <w:rsid w:val="5ABD1D88"/>
    <w:rsid w:val="5D177E5B"/>
    <w:rsid w:val="665A1E94"/>
    <w:rsid w:val="681225C9"/>
    <w:rsid w:val="6BA047ED"/>
    <w:rsid w:val="6CA578F6"/>
    <w:rsid w:val="6EFF6962"/>
    <w:rsid w:val="7580747E"/>
    <w:rsid w:val="75B60A75"/>
    <w:rsid w:val="7CB15C69"/>
    <w:rsid w:val="7F721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link w:val="22"/>
    <w:qFormat/>
    <w:uiPriority w:val="0"/>
    <w:pPr>
      <w:widowControl/>
      <w:spacing w:before="100" w:beforeAutospacing="1" w:after="100" w:afterAutospacing="1"/>
      <w:jc w:val="left"/>
      <w:outlineLvl w:val="0"/>
    </w:pPr>
    <w:rPr>
      <w:b/>
      <w:kern w:val="44"/>
      <w:sz w:val="44"/>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autoRedefine/>
    <w:qFormat/>
    <w:uiPriority w:val="0"/>
    <w:pPr>
      <w:jc w:val="left"/>
    </w:pPr>
    <w:rPr>
      <w:sz w:val="24"/>
    </w:rPr>
  </w:style>
  <w:style w:type="paragraph" w:styleId="4">
    <w:name w:val="Body Text"/>
    <w:basedOn w:val="1"/>
    <w:next w:val="1"/>
    <w:unhideWhenUsed/>
    <w:qFormat/>
    <w:uiPriority w:val="0"/>
    <w:pPr>
      <w:spacing w:after="120" w:line="240" w:lineRule="auto"/>
    </w:pPr>
    <w:rPr>
      <w:rFonts w:ascii="Times New Roman" w:hAnsi="Times New Roman"/>
      <w:sz w:val="21"/>
      <w:szCs w:val="22"/>
    </w:rPr>
  </w:style>
  <w:style w:type="paragraph" w:styleId="5">
    <w:name w:val="Plain Text"/>
    <w:basedOn w:val="1"/>
    <w:link w:val="24"/>
    <w:autoRedefine/>
    <w:qFormat/>
    <w:uiPriority w:val="0"/>
    <w:pPr>
      <w:jc w:val="left"/>
    </w:pPr>
    <w:rPr>
      <w:rFonts w:ascii="Calibri" w:hAnsi="Courier New"/>
    </w:rPr>
  </w:style>
  <w:style w:type="paragraph" w:styleId="6">
    <w:name w:val="Date"/>
    <w:basedOn w:val="1"/>
    <w:next w:val="1"/>
    <w:link w:val="25"/>
    <w:autoRedefine/>
    <w:qFormat/>
    <w:uiPriority w:val="0"/>
    <w:rPr>
      <w:sz w:val="28"/>
    </w:rPr>
  </w:style>
  <w:style w:type="paragraph" w:styleId="7">
    <w:name w:val="Body Text Indent 2"/>
    <w:basedOn w:val="1"/>
    <w:link w:val="26"/>
    <w:autoRedefine/>
    <w:qFormat/>
    <w:uiPriority w:val="0"/>
    <w:pPr>
      <w:ind w:firstLine="592" w:firstLineChars="200"/>
    </w:pPr>
    <w:rPr>
      <w:rFonts w:eastAsia="仿宋_GB2312"/>
      <w:sz w:val="24"/>
    </w:rPr>
  </w:style>
  <w:style w:type="paragraph" w:styleId="8">
    <w:name w:val="Balloon Text"/>
    <w:basedOn w:val="1"/>
    <w:link w:val="27"/>
    <w:autoRedefine/>
    <w:qFormat/>
    <w:uiPriority w:val="0"/>
    <w:rPr>
      <w:sz w:val="18"/>
    </w:rPr>
  </w:style>
  <w:style w:type="paragraph" w:styleId="9">
    <w:name w:val="footer"/>
    <w:basedOn w:val="1"/>
    <w:link w:val="28"/>
    <w:qFormat/>
    <w:uiPriority w:val="0"/>
    <w:pPr>
      <w:tabs>
        <w:tab w:val="center" w:pos="4153"/>
        <w:tab w:val="right" w:pos="8306"/>
      </w:tabs>
      <w:snapToGrid w:val="0"/>
      <w:jc w:val="left"/>
    </w:pPr>
    <w:rPr>
      <w:sz w:val="18"/>
    </w:rPr>
  </w:style>
  <w:style w:type="paragraph" w:styleId="10">
    <w:name w:val="header"/>
    <w:basedOn w:val="1"/>
    <w:link w:val="29"/>
    <w:autoRedefine/>
    <w:qFormat/>
    <w:uiPriority w:val="0"/>
    <w:pPr>
      <w:pBdr>
        <w:bottom w:val="single" w:color="auto" w:sz="6" w:space="1"/>
      </w:pBdr>
      <w:tabs>
        <w:tab w:val="center" w:pos="4153"/>
        <w:tab w:val="right" w:pos="8306"/>
      </w:tabs>
      <w:snapToGrid w:val="0"/>
      <w:jc w:val="center"/>
    </w:pPr>
    <w:rPr>
      <w:sz w:val="18"/>
    </w:rPr>
  </w:style>
  <w:style w:type="paragraph" w:styleId="11">
    <w:name w:val="Body Text Indent 3"/>
    <w:basedOn w:val="1"/>
    <w:link w:val="30"/>
    <w:autoRedefine/>
    <w:qFormat/>
    <w:uiPriority w:val="0"/>
    <w:pPr>
      <w:spacing w:line="460" w:lineRule="exact"/>
      <w:ind w:firstLine="472" w:firstLineChars="200"/>
    </w:pPr>
    <w:rPr>
      <w:rFonts w:eastAsia="仿宋_GB2312"/>
      <w:sz w:val="24"/>
    </w:rPr>
  </w:style>
  <w:style w:type="paragraph" w:styleId="12">
    <w:name w:val="HTML Preformatted"/>
    <w:basedOn w:val="1"/>
    <w:link w:val="3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rPr>
  </w:style>
  <w:style w:type="paragraph" w:styleId="13">
    <w:name w:val="Normal (Web)"/>
    <w:basedOn w:val="1"/>
    <w:autoRedefine/>
    <w:qFormat/>
    <w:uiPriority w:val="0"/>
    <w:pPr>
      <w:widowControl/>
      <w:spacing w:after="250"/>
      <w:jc w:val="left"/>
    </w:pPr>
    <w:rPr>
      <w:rFonts w:ascii="宋体" w:hAnsi="宋体" w:cs="宋体"/>
      <w:kern w:val="0"/>
      <w:sz w:val="24"/>
    </w:rPr>
  </w:style>
  <w:style w:type="paragraph" w:styleId="14">
    <w:name w:val="Title"/>
    <w:basedOn w:val="1"/>
    <w:next w:val="1"/>
    <w:link w:val="32"/>
    <w:autoRedefine/>
    <w:qFormat/>
    <w:uiPriority w:val="0"/>
    <w:pPr>
      <w:spacing w:before="240" w:after="60"/>
      <w:jc w:val="center"/>
      <w:outlineLvl w:val="0"/>
    </w:pPr>
    <w:rPr>
      <w:rFonts w:ascii="Cambria" w:hAnsi="Cambria"/>
      <w:b/>
      <w:sz w:val="32"/>
    </w:rPr>
  </w:style>
  <w:style w:type="paragraph" w:styleId="15">
    <w:name w:val="annotation subject"/>
    <w:basedOn w:val="3"/>
    <w:next w:val="3"/>
    <w:link w:val="33"/>
    <w:qFormat/>
    <w:uiPriority w:val="0"/>
    <w:rPr>
      <w:b/>
    </w:rPr>
  </w:style>
  <w:style w:type="character" w:styleId="18">
    <w:name w:val="Strong"/>
    <w:autoRedefine/>
    <w:qFormat/>
    <w:uiPriority w:val="0"/>
    <w:rPr>
      <w:b/>
    </w:rPr>
  </w:style>
  <w:style w:type="character" w:styleId="19">
    <w:name w:val="page number"/>
    <w:qFormat/>
    <w:uiPriority w:val="0"/>
    <w:rPr>
      <w:rFonts w:cs="Times New Roman"/>
    </w:rPr>
  </w:style>
  <w:style w:type="character" w:styleId="20">
    <w:name w:val="Hyperlink"/>
    <w:qFormat/>
    <w:uiPriority w:val="0"/>
    <w:rPr>
      <w:color w:val="0000FF"/>
      <w:u w:val="single"/>
    </w:rPr>
  </w:style>
  <w:style w:type="character" w:styleId="21">
    <w:name w:val="annotation reference"/>
    <w:autoRedefine/>
    <w:qFormat/>
    <w:uiPriority w:val="0"/>
    <w:rPr>
      <w:sz w:val="21"/>
    </w:rPr>
  </w:style>
  <w:style w:type="character" w:customStyle="1" w:styleId="22">
    <w:name w:val="标题 1 Char"/>
    <w:link w:val="2"/>
    <w:qFormat/>
    <w:uiPriority w:val="0"/>
    <w:rPr>
      <w:b/>
      <w:kern w:val="44"/>
      <w:sz w:val="44"/>
    </w:rPr>
  </w:style>
  <w:style w:type="character" w:customStyle="1" w:styleId="23">
    <w:name w:val="批注文字 Char"/>
    <w:link w:val="3"/>
    <w:autoRedefine/>
    <w:qFormat/>
    <w:uiPriority w:val="0"/>
    <w:rPr>
      <w:kern w:val="2"/>
      <w:sz w:val="24"/>
    </w:rPr>
  </w:style>
  <w:style w:type="character" w:customStyle="1" w:styleId="24">
    <w:name w:val="纯文本 Char"/>
    <w:link w:val="5"/>
    <w:qFormat/>
    <w:uiPriority w:val="0"/>
    <w:rPr>
      <w:rFonts w:ascii="Calibri" w:hAnsi="Courier New"/>
      <w:sz w:val="21"/>
    </w:rPr>
  </w:style>
  <w:style w:type="character" w:customStyle="1" w:styleId="25">
    <w:name w:val="日期 Char"/>
    <w:link w:val="6"/>
    <w:qFormat/>
    <w:uiPriority w:val="0"/>
    <w:rPr>
      <w:rFonts w:ascii="Times New Roman" w:hAnsi="Times New Roman"/>
      <w:kern w:val="2"/>
      <w:sz w:val="28"/>
    </w:rPr>
  </w:style>
  <w:style w:type="character" w:customStyle="1" w:styleId="26">
    <w:name w:val="正文文本缩进 2 Char"/>
    <w:link w:val="7"/>
    <w:qFormat/>
    <w:uiPriority w:val="0"/>
    <w:rPr>
      <w:rFonts w:ascii="Times New Roman" w:hAnsi="Times New Roman" w:eastAsia="仿宋_GB2312"/>
      <w:kern w:val="2"/>
      <w:sz w:val="24"/>
    </w:rPr>
  </w:style>
  <w:style w:type="character" w:customStyle="1" w:styleId="27">
    <w:name w:val="批注框文本 Char"/>
    <w:link w:val="8"/>
    <w:qFormat/>
    <w:uiPriority w:val="0"/>
    <w:rPr>
      <w:kern w:val="2"/>
      <w:sz w:val="18"/>
    </w:rPr>
  </w:style>
  <w:style w:type="character" w:customStyle="1" w:styleId="28">
    <w:name w:val="页脚 Char"/>
    <w:link w:val="9"/>
    <w:qFormat/>
    <w:uiPriority w:val="0"/>
    <w:rPr>
      <w:sz w:val="18"/>
    </w:rPr>
  </w:style>
  <w:style w:type="character" w:customStyle="1" w:styleId="29">
    <w:name w:val="页眉 Char"/>
    <w:link w:val="10"/>
    <w:autoRedefine/>
    <w:qFormat/>
    <w:uiPriority w:val="0"/>
    <w:rPr>
      <w:sz w:val="18"/>
    </w:rPr>
  </w:style>
  <w:style w:type="character" w:customStyle="1" w:styleId="30">
    <w:name w:val="正文文本缩进 3 Char"/>
    <w:link w:val="11"/>
    <w:qFormat/>
    <w:uiPriority w:val="0"/>
    <w:rPr>
      <w:rFonts w:ascii="Times New Roman" w:hAnsi="Times New Roman" w:eastAsia="仿宋_GB2312"/>
      <w:kern w:val="2"/>
      <w:sz w:val="24"/>
    </w:rPr>
  </w:style>
  <w:style w:type="character" w:customStyle="1" w:styleId="31">
    <w:name w:val="HTML 预设格式 Char"/>
    <w:link w:val="12"/>
    <w:qFormat/>
    <w:uiPriority w:val="0"/>
    <w:rPr>
      <w:rFonts w:ascii="Courier New" w:hAnsi="Courier New"/>
      <w:kern w:val="2"/>
    </w:rPr>
  </w:style>
  <w:style w:type="character" w:customStyle="1" w:styleId="32">
    <w:name w:val="标题 Char"/>
    <w:link w:val="14"/>
    <w:qFormat/>
    <w:uiPriority w:val="0"/>
    <w:rPr>
      <w:rFonts w:ascii="Cambria" w:hAnsi="Cambria"/>
      <w:b/>
      <w:kern w:val="2"/>
      <w:sz w:val="32"/>
    </w:rPr>
  </w:style>
  <w:style w:type="character" w:customStyle="1" w:styleId="33">
    <w:name w:val="批注主题 Char"/>
    <w:link w:val="15"/>
    <w:qFormat/>
    <w:uiPriority w:val="0"/>
    <w:rPr>
      <w:b/>
      <w:kern w:val="2"/>
      <w:sz w:val="24"/>
    </w:rPr>
  </w:style>
  <w:style w:type="character" w:customStyle="1" w:styleId="34">
    <w:name w:val="apple-style-span"/>
    <w:qFormat/>
    <w:uiPriority w:val="0"/>
  </w:style>
  <w:style w:type="character" w:customStyle="1" w:styleId="35">
    <w:name w:val="text11"/>
    <w:qFormat/>
    <w:uiPriority w:val="0"/>
    <w:rPr>
      <w:rFonts w:ascii="Verdana" w:hAnsi="Verdana"/>
      <w:color w:val="4E4E4E"/>
      <w:sz w:val="18"/>
    </w:rPr>
  </w:style>
  <w:style w:type="character" w:customStyle="1" w:styleId="36">
    <w:name w:val="font31"/>
    <w:qFormat/>
    <w:uiPriority w:val="0"/>
    <w:rPr>
      <w:rFonts w:ascii="宋体" w:hAnsi="宋体" w:eastAsia="宋体"/>
      <w:color w:val="FF0000"/>
      <w:sz w:val="20"/>
      <w:u w:val="none"/>
    </w:rPr>
  </w:style>
  <w:style w:type="character" w:customStyle="1" w:styleId="37">
    <w:name w:val="Header Char2"/>
    <w:qFormat/>
    <w:uiPriority w:val="0"/>
    <w:rPr>
      <w:sz w:val="18"/>
    </w:rPr>
  </w:style>
  <w:style w:type="character" w:customStyle="1" w:styleId="38">
    <w:name w:val="List Paragraph Char"/>
    <w:link w:val="39"/>
    <w:qFormat/>
    <w:uiPriority w:val="0"/>
    <w:rPr>
      <w:rFonts w:ascii="宋体" w:hAnsi="宋体" w:eastAsia="宋体"/>
    </w:rPr>
  </w:style>
  <w:style w:type="paragraph" w:customStyle="1" w:styleId="39">
    <w:name w:val="List Paragraph1"/>
    <w:basedOn w:val="1"/>
    <w:link w:val="38"/>
    <w:qFormat/>
    <w:uiPriority w:val="0"/>
    <w:pPr>
      <w:ind w:firstLine="420" w:firstLineChars="200"/>
    </w:pPr>
    <w:rPr>
      <w:rFonts w:ascii="宋体" w:hAnsi="宋体"/>
    </w:rPr>
  </w:style>
  <w:style w:type="character" w:customStyle="1" w:styleId="40">
    <w:name w:val="font01"/>
    <w:qFormat/>
    <w:uiPriority w:val="0"/>
    <w:rPr>
      <w:rFonts w:ascii="宋体" w:hAnsi="宋体" w:eastAsia="宋体"/>
      <w:color w:val="000000"/>
      <w:sz w:val="20"/>
      <w:u w:val="none"/>
    </w:rPr>
  </w:style>
  <w:style w:type="character" w:customStyle="1" w:styleId="41">
    <w:name w:val="页脚 Char1"/>
    <w:autoRedefine/>
    <w:qFormat/>
    <w:uiPriority w:val="0"/>
    <w:rPr>
      <w:sz w:val="18"/>
    </w:rPr>
  </w:style>
  <w:style w:type="character" w:customStyle="1" w:styleId="42">
    <w:name w:val="Header Char"/>
    <w:qFormat/>
    <w:uiPriority w:val="0"/>
    <w:rPr>
      <w:kern w:val="2"/>
      <w:sz w:val="18"/>
    </w:rPr>
  </w:style>
  <w:style w:type="character" w:customStyle="1" w:styleId="43">
    <w:name w:val="font11"/>
    <w:qFormat/>
    <w:uiPriority w:val="0"/>
    <w:rPr>
      <w:rFonts w:ascii="宋体" w:hAnsi="宋体" w:eastAsia="宋体"/>
      <w:color w:val="000000"/>
      <w:sz w:val="20"/>
      <w:u w:val="none"/>
    </w:rPr>
  </w:style>
  <w:style w:type="paragraph" w:customStyle="1" w:styleId="44">
    <w:name w:val="正文 New New New New New New New New New"/>
    <w:autoRedefine/>
    <w:qFormat/>
    <w:uiPriority w:val="0"/>
    <w:pPr>
      <w:widowControl w:val="0"/>
      <w:spacing w:line="360" w:lineRule="auto"/>
      <w:ind w:firstLine="720" w:firstLineChars="200"/>
      <w:jc w:val="both"/>
    </w:pPr>
    <w:rPr>
      <w:rFonts w:ascii="Times New Roman" w:hAnsi="Times New Roman" w:eastAsia="宋体" w:cs="Times New Roman"/>
      <w:kern w:val="2"/>
      <w:sz w:val="24"/>
      <w:lang w:val="en-US" w:eastAsia="zh-CN" w:bidi="ar-SA"/>
    </w:rPr>
  </w:style>
  <w:style w:type="paragraph" w:customStyle="1" w:styleId="45">
    <w:name w:val="页脚1"/>
    <w:basedOn w:val="1"/>
    <w:next w:val="9"/>
    <w:qFormat/>
    <w:uiPriority w:val="0"/>
    <w:pPr>
      <w:tabs>
        <w:tab w:val="center" w:pos="4153"/>
        <w:tab w:val="right" w:pos="8306"/>
      </w:tabs>
      <w:snapToGrid w:val="0"/>
      <w:jc w:val="left"/>
    </w:pPr>
    <w:rPr>
      <w:rFonts w:ascii="等线" w:hAnsi="等线" w:eastAsia="等线"/>
      <w:sz w:val="18"/>
      <w:szCs w:val="18"/>
    </w:rPr>
  </w:style>
  <w:style w:type="paragraph" w:customStyle="1" w:styleId="46">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47">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8">
    <w:name w:val="列出段落1"/>
    <w:basedOn w:val="1"/>
    <w:autoRedefine/>
    <w:qFormat/>
    <w:uiPriority w:val="0"/>
    <w:pPr>
      <w:ind w:firstLine="420" w:firstLineChars="200"/>
    </w:pPr>
    <w:rPr>
      <w:sz w:val="28"/>
      <w:szCs w:val="28"/>
    </w:rPr>
  </w:style>
  <w:style w:type="paragraph" w:customStyle="1" w:styleId="49">
    <w:name w:val="正文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_Style 48"/>
    <w:autoRedefine/>
    <w:qFormat/>
    <w:uiPriority w:val="0"/>
    <w:rPr>
      <w:rFonts w:ascii="Times New Roman" w:hAnsi="Times New Roman" w:eastAsia="宋体" w:cs="Times New Roman"/>
      <w:kern w:val="2"/>
      <w:sz w:val="21"/>
      <w:szCs w:val="24"/>
      <w:lang w:val="en-US" w:eastAsia="zh-CN" w:bidi="ar-SA"/>
    </w:rPr>
  </w:style>
  <w:style w:type="paragraph" w:customStyle="1" w:styleId="51">
    <w:name w:val="文档正文"/>
    <w:basedOn w:val="1"/>
    <w:autoRedefine/>
    <w:qFormat/>
    <w:uiPriority w:val="0"/>
    <w:pPr>
      <w:spacing w:line="240" w:lineRule="atLeast"/>
      <w:ind w:firstLine="592" w:firstLineChars="200"/>
      <w:jc w:val="center"/>
    </w:pPr>
    <w:rPr>
      <w:rFonts w:ascii="仿宋_GB2312" w:hAnsi="Arial" w:eastAsia="仿宋_GB2312"/>
      <w:bCs/>
      <w:sz w:val="32"/>
      <w:szCs w:val="21"/>
    </w:rPr>
  </w:style>
  <w:style w:type="paragraph" w:customStyle="1" w:styleId="52">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3">
    <w:name w:val="正文 New New New New New New New New New New"/>
    <w:autoRedefine/>
    <w:qFormat/>
    <w:uiPriority w:val="0"/>
    <w:pPr>
      <w:widowControl w:val="0"/>
      <w:spacing w:line="360" w:lineRule="auto"/>
      <w:ind w:firstLine="720" w:firstLineChars="200"/>
      <w:jc w:val="both"/>
    </w:pPr>
    <w:rPr>
      <w:rFonts w:ascii="Times New Roman" w:hAnsi="Times New Roman" w:eastAsia="宋体" w:cs="Times New Roman"/>
      <w:kern w:val="2"/>
      <w:sz w:val="24"/>
      <w:lang w:val="en-US" w:eastAsia="zh-CN" w:bidi="ar-SA"/>
    </w:rPr>
  </w:style>
  <w:style w:type="paragraph" w:customStyle="1" w:styleId="54">
    <w:name w:val="正文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5">
    <w:name w:val="正文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6">
    <w:name w:val="List Paragraph"/>
    <w:basedOn w:val="1"/>
    <w:autoRedefine/>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16</Pages>
  <Words>7859</Words>
  <Characters>8727</Characters>
  <Lines>71</Lines>
  <Paragraphs>20</Paragraphs>
  <TotalTime>1</TotalTime>
  <ScaleCrop>false</ScaleCrop>
  <LinksUpToDate>false</LinksUpToDate>
  <CharactersWithSpaces>9349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2024-03-21T04:26:00Z</dcterms:created>
  <dc:creator>微软用户</dc:creator>
  <cp:lastModifiedBy>旧巷</cp:lastModifiedBy>
  <cp:lastPrinted>2021-06-30T09:03:00Z</cp:lastPrinted>
  <dcterms:modified xsi:type="dcterms:W3CDTF">2025-08-31T02:23:18Z</dcterms:modified>
  <dc:title>西南大学育才学院招标文件</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F9BD0FA5D93E49069FA137B2B9C4BD07_13</vt:lpwstr>
  </property>
  <property fmtid="{D5CDD505-2E9C-101B-9397-08002B2CF9AE}" pid="4" name="KSOTemplateDocerSaveRecord">
    <vt:lpwstr>eyJoZGlkIjoiNTgxYmM0Y2FiZDA0YzM4Y2Q3M2VmMmQ2YmFjY2U0MDQiLCJ1c2VySWQiOiIyMDk2NjA0NTUifQ==</vt:lpwstr>
  </property>
</Properties>
</file>