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3E476">
      <w:pPr>
        <w:rPr>
          <w:rFonts w:ascii="Times New Roman" w:hAnsi="Times New Roman" w:eastAsia="黑体"/>
          <w:sz w:val="32"/>
          <w:szCs w:val="40"/>
        </w:rPr>
      </w:pPr>
      <w:r>
        <w:rPr>
          <w:rFonts w:hint="eastAsia" w:ascii="Times New Roman" w:hAnsi="Times New Roman" w:eastAsia="黑体"/>
          <w:sz w:val="32"/>
          <w:szCs w:val="40"/>
        </w:rPr>
        <w:t>附件</w:t>
      </w:r>
      <w:r>
        <w:rPr>
          <w:rFonts w:ascii="Times New Roman" w:hAnsi="Times New Roman" w:eastAsia="黑体"/>
          <w:sz w:val="32"/>
          <w:szCs w:val="40"/>
        </w:rPr>
        <w:t>2</w:t>
      </w:r>
    </w:p>
    <w:p w14:paraId="546848B6">
      <w:pPr>
        <w:rPr>
          <w:rFonts w:ascii="Times New Roman" w:hAnsi="Times New Roman"/>
        </w:rPr>
      </w:pPr>
    </w:p>
    <w:p w14:paraId="2EB5D1BC">
      <w:pPr>
        <w:rPr>
          <w:rFonts w:ascii="Times New Roman" w:hAnsi="Times New Roman"/>
        </w:rPr>
      </w:pPr>
    </w:p>
    <w:p w14:paraId="29E5370D">
      <w:pPr>
        <w:jc w:val="center"/>
        <w:rPr>
          <w:rFonts w:ascii="Times New Roman" w:hAnsi="Times New Roman" w:eastAsia="方正大标宋_GBK"/>
          <w:sz w:val="44"/>
          <w:szCs w:val="44"/>
        </w:rPr>
      </w:pPr>
      <w:r>
        <w:rPr>
          <w:rFonts w:ascii="Times New Roman" w:hAnsi="Times New Roman" w:eastAsia="方正大标宋_GBK"/>
          <w:sz w:val="44"/>
          <w:szCs w:val="44"/>
        </w:rPr>
        <w:t>XX</w:t>
      </w:r>
      <w:r>
        <w:rPr>
          <w:rFonts w:hint="eastAsia" w:ascii="Times New Roman" w:hAnsi="Times New Roman" w:eastAsia="方正大标宋_GBK"/>
          <w:sz w:val="44"/>
          <w:szCs w:val="44"/>
        </w:rPr>
        <w:t>（标准名称）</w:t>
      </w:r>
    </w:p>
    <w:p w14:paraId="244BF3B4">
      <w:pPr>
        <w:rPr>
          <w:rFonts w:ascii="Times New Roman" w:hAnsi="Times New Roman"/>
        </w:rPr>
      </w:pPr>
    </w:p>
    <w:p w14:paraId="5D51C2AF">
      <w:pPr>
        <w:jc w:val="center"/>
        <w:rPr>
          <w:rFonts w:ascii="Times New Roman" w:hAnsi="Times New Roman"/>
          <w:sz w:val="28"/>
          <w:szCs w:val="28"/>
        </w:rPr>
      </w:pPr>
      <w:r>
        <w:rPr>
          <w:rFonts w:hint="eastAsia" w:ascii="Times New Roman" w:hAnsi="Times New Roman"/>
          <w:sz w:val="28"/>
          <w:szCs w:val="28"/>
        </w:rPr>
        <w:t>（</w:t>
      </w:r>
      <w:r>
        <w:rPr>
          <w:rFonts w:ascii="Times New Roman" w:hAnsi="Times New Roman"/>
          <w:sz w:val="28"/>
          <w:szCs w:val="28"/>
        </w:rPr>
        <w:t>B</w:t>
      </w:r>
      <w:r>
        <w:rPr>
          <w:rFonts w:hint="eastAsia" w:ascii="Times New Roman" w:hAnsi="Times New Roman"/>
          <w:sz w:val="28"/>
          <w:szCs w:val="28"/>
        </w:rPr>
        <w:t>类标准参考文本）</w:t>
      </w:r>
    </w:p>
    <w:p w14:paraId="603E4A15">
      <w:pPr>
        <w:jc w:val="center"/>
        <w:rPr>
          <w:rFonts w:ascii="Times New Roman" w:hAnsi="Times New Roman"/>
          <w:sz w:val="44"/>
          <w:szCs w:val="44"/>
        </w:rPr>
      </w:pPr>
    </w:p>
    <w:p w14:paraId="3EE832A8">
      <w:pPr>
        <w:jc w:val="center"/>
        <w:rPr>
          <w:rFonts w:ascii="Times New Roman" w:hAnsi="Times New Roman"/>
          <w:sz w:val="44"/>
          <w:szCs w:val="44"/>
        </w:rPr>
      </w:pPr>
    </w:p>
    <w:p w14:paraId="03FCF2C9">
      <w:pPr>
        <w:jc w:val="center"/>
        <w:rPr>
          <w:rFonts w:ascii="Times New Roman" w:hAnsi="Times New Roman"/>
          <w:sz w:val="44"/>
          <w:szCs w:val="44"/>
        </w:rPr>
      </w:pPr>
    </w:p>
    <w:p w14:paraId="42369F1D">
      <w:pPr>
        <w:jc w:val="center"/>
        <w:rPr>
          <w:rFonts w:ascii="Times New Roman" w:hAnsi="Times New Roman"/>
          <w:sz w:val="44"/>
          <w:szCs w:val="44"/>
        </w:rPr>
      </w:pPr>
    </w:p>
    <w:p w14:paraId="3189360E">
      <w:pPr>
        <w:jc w:val="center"/>
        <w:rPr>
          <w:rFonts w:ascii="Times New Roman" w:hAnsi="Times New Roman"/>
          <w:sz w:val="44"/>
          <w:szCs w:val="44"/>
        </w:rPr>
      </w:pPr>
    </w:p>
    <w:p w14:paraId="0871DFC4">
      <w:pPr>
        <w:jc w:val="center"/>
        <w:rPr>
          <w:rFonts w:ascii="Times New Roman" w:hAnsi="Times New Roman"/>
          <w:sz w:val="44"/>
          <w:szCs w:val="44"/>
        </w:rPr>
      </w:pPr>
    </w:p>
    <w:p w14:paraId="00D77107">
      <w:pPr>
        <w:rPr>
          <w:rFonts w:ascii="Times New Roman" w:hAnsi="Times New Roman"/>
        </w:rPr>
      </w:pPr>
    </w:p>
    <w:p w14:paraId="2E0CEEBD">
      <w:pPr>
        <w:jc w:val="center"/>
        <w:rPr>
          <w:rFonts w:ascii="Times New Roman" w:hAnsi="Times New Roman"/>
          <w:sz w:val="44"/>
          <w:szCs w:val="44"/>
        </w:rPr>
      </w:pPr>
    </w:p>
    <w:p w14:paraId="6B9F5770">
      <w:pPr>
        <w:jc w:val="center"/>
        <w:rPr>
          <w:rFonts w:ascii="Times New Roman" w:hAnsi="Times New Roman"/>
          <w:sz w:val="44"/>
          <w:szCs w:val="44"/>
        </w:rPr>
      </w:pPr>
    </w:p>
    <w:p w14:paraId="1B3927AA">
      <w:pPr>
        <w:jc w:val="center"/>
        <w:rPr>
          <w:rFonts w:ascii="Times New Roman" w:hAnsi="Times New Roman"/>
          <w:sz w:val="44"/>
          <w:szCs w:val="44"/>
        </w:rPr>
      </w:pPr>
      <w:r>
        <w:rPr>
          <w:rFonts w:ascii="Times New Roman" w:hAnsi="Times New Roman"/>
          <w:sz w:val="44"/>
          <w:szCs w:val="44"/>
        </w:rPr>
        <w:t>XX</w:t>
      </w:r>
      <w:r>
        <w:rPr>
          <w:rFonts w:hint="eastAsia" w:ascii="Times New Roman" w:hAnsi="Times New Roman"/>
          <w:sz w:val="44"/>
          <w:szCs w:val="44"/>
        </w:rPr>
        <w:t>单位（申报单位名称）</w:t>
      </w:r>
    </w:p>
    <w:p w14:paraId="5D50030C">
      <w:pPr>
        <w:rPr>
          <w:rFonts w:ascii="Times New Roman" w:hAnsi="Times New Roman"/>
        </w:rPr>
      </w:pPr>
    </w:p>
    <w:p w14:paraId="397C1270">
      <w:pPr>
        <w:rPr>
          <w:rFonts w:ascii="Times New Roman" w:hAnsi="Times New Roman"/>
        </w:rPr>
      </w:pPr>
    </w:p>
    <w:p w14:paraId="60FFBE86">
      <w:pPr>
        <w:rPr>
          <w:rFonts w:ascii="Times New Roman" w:hAnsi="Times New Roman"/>
        </w:rPr>
      </w:pPr>
    </w:p>
    <w:p w14:paraId="3F0685B2">
      <w:pPr>
        <w:rPr>
          <w:rFonts w:ascii="Times New Roman" w:hAnsi="Times New Roman"/>
        </w:rPr>
      </w:pPr>
    </w:p>
    <w:p w14:paraId="658BCCB4">
      <w:pPr>
        <w:rPr>
          <w:rFonts w:ascii="Times New Roman" w:hAnsi="Times New Roman"/>
        </w:rPr>
      </w:pPr>
    </w:p>
    <w:p w14:paraId="49E87E43">
      <w:pPr>
        <w:rPr>
          <w:rFonts w:ascii="Times New Roman" w:hAnsi="Times New Roman"/>
        </w:rPr>
      </w:pPr>
    </w:p>
    <w:p w14:paraId="6C45509C">
      <w:pPr>
        <w:rPr>
          <w:rFonts w:ascii="Times New Roman" w:hAnsi="Times New Roman"/>
        </w:rPr>
      </w:pPr>
    </w:p>
    <w:p w14:paraId="7FE43B73">
      <w:pPr>
        <w:rPr>
          <w:rFonts w:ascii="Times New Roman" w:hAnsi="Times New Roman"/>
        </w:rPr>
      </w:pPr>
    </w:p>
    <w:p w14:paraId="74C565E5">
      <w:pPr>
        <w:rPr>
          <w:rFonts w:ascii="Times New Roman" w:hAnsi="Times New Roman"/>
        </w:rPr>
      </w:pPr>
    </w:p>
    <w:p w14:paraId="350C6A65">
      <w:pPr>
        <w:rPr>
          <w:rFonts w:ascii="Times New Roman" w:hAnsi="Times New Roman"/>
        </w:rPr>
      </w:pPr>
    </w:p>
    <w:p w14:paraId="3950F2EE">
      <w:pPr>
        <w:rPr>
          <w:rFonts w:ascii="Times New Roman" w:hAnsi="Times New Roman"/>
        </w:rPr>
      </w:pPr>
    </w:p>
    <w:p w14:paraId="0C2E0015">
      <w:pPr>
        <w:keepNext/>
        <w:keepLines/>
        <w:spacing w:before="340" w:after="330" w:line="576" w:lineRule="auto"/>
        <w:jc w:val="center"/>
        <w:outlineLvl w:val="0"/>
        <w:rPr>
          <w:rFonts w:ascii="Times New Roman" w:hAnsi="Times New Roman"/>
          <w:b/>
          <w:bCs/>
          <w:kern w:val="44"/>
          <w:sz w:val="44"/>
          <w:szCs w:val="44"/>
        </w:rPr>
      </w:pPr>
      <w:bookmarkStart w:id="0" w:name="_Toc24434"/>
      <w:bookmarkStart w:id="1" w:name="_Toc32678"/>
      <w:bookmarkStart w:id="2" w:name="_Toc13572"/>
      <w:r>
        <w:rPr>
          <w:rFonts w:hint="eastAsia" w:ascii="Times New Roman" w:hAnsi="Times New Roman"/>
          <w:b/>
          <w:bCs/>
          <w:kern w:val="44"/>
          <w:sz w:val="44"/>
          <w:szCs w:val="44"/>
        </w:rPr>
        <w:t>目</w:t>
      </w:r>
      <w:bookmarkEnd w:id="0"/>
      <w:bookmarkEnd w:id="1"/>
      <w:r>
        <w:rPr>
          <w:rFonts w:hint="eastAsia" w:ascii="Times New Roman" w:hAnsi="Times New Roman"/>
          <w:b/>
          <w:bCs/>
          <w:kern w:val="44"/>
          <w:sz w:val="44"/>
          <w:szCs w:val="44"/>
        </w:rPr>
        <w:t>录</w:t>
      </w:r>
      <w:bookmarkEnd w:id="2"/>
    </w:p>
    <w:p w14:paraId="3514FA82">
      <w:pPr>
        <w:tabs>
          <w:tab w:val="right" w:leader="dot" w:pos="8306"/>
        </w:tabs>
        <w:spacing w:line="180" w:lineRule="auto"/>
        <w:jc w:val="center"/>
        <w:rPr>
          <w:color w:val="auto"/>
          <w:sz w:val="30"/>
        </w:rPr>
      </w:pPr>
      <w:r>
        <w:rPr>
          <w:rFonts w:ascii="Times New Roman" w:hAnsi="Times New Roman"/>
          <w:color w:val="auto"/>
          <w:sz w:val="28"/>
          <w:szCs w:val="28"/>
        </w:rPr>
        <w:fldChar w:fldCharType="begin"/>
      </w:r>
      <w:r>
        <w:rPr>
          <w:rFonts w:ascii="Times New Roman" w:hAnsi="Times New Roman"/>
          <w:color w:val="auto"/>
          <w:sz w:val="28"/>
          <w:szCs w:val="28"/>
        </w:rPr>
        <w:instrText xml:space="preserve">TOC \o "1-1" \h \u </w:instrText>
      </w:r>
      <w:r>
        <w:rPr>
          <w:rFonts w:ascii="Times New Roman" w:hAnsi="Times New Roman"/>
          <w:color w:val="auto"/>
          <w:sz w:val="28"/>
          <w:szCs w:val="28"/>
        </w:rPr>
        <w:fldChar w:fldCharType="separate"/>
      </w: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"_Toc13572"</w:instrText>
      </w:r>
      <w:r>
        <w:rPr>
          <w:rFonts w:ascii="Times New Roman" w:hAnsi="Times New Roman"/>
          <w:color w:val="auto"/>
          <w:sz w:val="30"/>
          <w:szCs w:val="28"/>
        </w:rPr>
        <w:fldChar w:fldCharType="separate"/>
      </w:r>
      <w:r>
        <w:rPr>
          <w:rFonts w:hint="eastAsia" w:ascii="Times New Roman" w:hAnsi="Times New Roman"/>
          <w:color w:val="auto"/>
          <w:sz w:val="30"/>
          <w:u w:val="single"/>
        </w:rPr>
        <w:t>目录</w:t>
      </w:r>
      <w:r>
        <w:rPr>
          <w:color w:val="auto"/>
          <w:sz w:val="30"/>
          <w:u w:val="single"/>
        </w:rPr>
        <w:tab/>
      </w:r>
      <w:r>
        <w:rPr>
          <w:color w:val="auto"/>
          <w:sz w:val="30"/>
          <w:u w:val="single"/>
        </w:rPr>
        <w:fldChar w:fldCharType="begin"/>
      </w:r>
      <w:r>
        <w:rPr>
          <w:color w:val="auto"/>
          <w:sz w:val="30"/>
          <w:u w:val="single"/>
        </w:rPr>
        <w:instrText xml:space="preserve"> PAGEREF _Toc13572 \h </w:instrText>
      </w:r>
      <w:r>
        <w:rPr>
          <w:color w:val="auto"/>
          <w:sz w:val="30"/>
          <w:u w:val="single"/>
        </w:rPr>
        <w:fldChar w:fldCharType="separate"/>
      </w:r>
      <w:r>
        <w:rPr>
          <w:color w:val="auto"/>
          <w:sz w:val="30"/>
          <w:u w:val="single"/>
        </w:rPr>
        <w:t>- 2 -</w:t>
      </w:r>
      <w:r>
        <w:rPr>
          <w:color w:val="auto"/>
          <w:sz w:val="30"/>
          <w:u w:val="single"/>
        </w:rPr>
        <w:fldChar w:fldCharType="end"/>
      </w:r>
      <w:r>
        <w:rPr>
          <w:rFonts w:ascii="Times New Roman" w:hAnsi="Times New Roman"/>
          <w:color w:val="auto"/>
          <w:sz w:val="30"/>
          <w:szCs w:val="28"/>
        </w:rPr>
        <w:fldChar w:fldCharType="end"/>
      </w:r>
    </w:p>
    <w:p w14:paraId="61CFB5F7">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"_Toc31919"</w:instrText>
      </w:r>
      <w:r>
        <w:rPr>
          <w:rFonts w:ascii="Times New Roman" w:hAnsi="Times New Roman"/>
          <w:color w:val="auto"/>
          <w:sz w:val="30"/>
          <w:szCs w:val="28"/>
        </w:rPr>
        <w:fldChar w:fldCharType="separate"/>
      </w:r>
      <w:r>
        <w:rPr>
          <w:rFonts w:hint="eastAsia" w:ascii="Times New Roman" w:hAnsi="Times New Roman"/>
          <w:color w:val="auto"/>
          <w:sz w:val="30"/>
          <w:u w:val="single"/>
        </w:rPr>
        <w:t>前言</w:t>
      </w:r>
      <w:r>
        <w:rPr>
          <w:color w:val="auto"/>
          <w:sz w:val="30"/>
          <w:u w:val="single"/>
        </w:rPr>
        <w:tab/>
      </w:r>
      <w:r>
        <w:rPr>
          <w:color w:val="auto"/>
          <w:sz w:val="30"/>
          <w:u w:val="single"/>
        </w:rPr>
        <w:fldChar w:fldCharType="begin"/>
      </w:r>
      <w:r>
        <w:rPr>
          <w:color w:val="auto"/>
          <w:sz w:val="30"/>
          <w:u w:val="single"/>
        </w:rPr>
        <w:instrText xml:space="preserve"> PAGEREF _Toc31919 \h </w:instrText>
      </w:r>
      <w:r>
        <w:rPr>
          <w:color w:val="auto"/>
          <w:sz w:val="30"/>
          <w:u w:val="single"/>
        </w:rPr>
        <w:fldChar w:fldCharType="separate"/>
      </w:r>
      <w:r>
        <w:rPr>
          <w:color w:val="auto"/>
          <w:sz w:val="30"/>
          <w:u w:val="single"/>
        </w:rPr>
        <w:t>- 3 -</w:t>
      </w:r>
      <w:r>
        <w:rPr>
          <w:color w:val="auto"/>
          <w:sz w:val="30"/>
          <w:u w:val="single"/>
        </w:rPr>
        <w:fldChar w:fldCharType="end"/>
      </w:r>
      <w:r>
        <w:rPr>
          <w:rFonts w:ascii="Times New Roman" w:hAnsi="Times New Roman"/>
          <w:color w:val="auto"/>
          <w:sz w:val="30"/>
          <w:szCs w:val="28"/>
        </w:rPr>
        <w:fldChar w:fldCharType="end"/>
      </w:r>
    </w:p>
    <w:p w14:paraId="7A862E27">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"_Toc17767"</w:instrText>
      </w:r>
      <w:r>
        <w:rPr>
          <w:rFonts w:ascii="Times New Roman" w:hAnsi="Times New Roman"/>
          <w:color w:val="auto"/>
          <w:sz w:val="30"/>
          <w:szCs w:val="28"/>
        </w:rPr>
        <w:fldChar w:fldCharType="separate"/>
      </w:r>
      <w:r>
        <w:rPr>
          <w:rFonts w:hint="eastAsia" w:ascii="Times New Roman" w:hAnsi="Times New Roman"/>
          <w:color w:val="auto"/>
          <w:sz w:val="30"/>
          <w:u w:val="single"/>
        </w:rPr>
        <w:t>引言</w:t>
      </w:r>
      <w:r>
        <w:rPr>
          <w:color w:val="auto"/>
          <w:sz w:val="30"/>
          <w:u w:val="single"/>
        </w:rPr>
        <w:tab/>
      </w:r>
      <w:r>
        <w:rPr>
          <w:color w:val="auto"/>
          <w:sz w:val="30"/>
          <w:u w:val="single"/>
        </w:rPr>
        <w:fldChar w:fldCharType="begin"/>
      </w:r>
      <w:r>
        <w:rPr>
          <w:color w:val="auto"/>
          <w:sz w:val="30"/>
          <w:u w:val="single"/>
        </w:rPr>
        <w:instrText xml:space="preserve"> PAGEREF _Toc17767 \h </w:instrText>
      </w:r>
      <w:r>
        <w:rPr>
          <w:color w:val="auto"/>
          <w:sz w:val="30"/>
          <w:u w:val="single"/>
        </w:rPr>
        <w:fldChar w:fldCharType="separate"/>
      </w:r>
      <w:r>
        <w:rPr>
          <w:color w:val="auto"/>
          <w:sz w:val="30"/>
          <w:u w:val="single"/>
        </w:rPr>
        <w:t>- 3 -</w:t>
      </w:r>
      <w:r>
        <w:rPr>
          <w:color w:val="auto"/>
          <w:sz w:val="30"/>
          <w:u w:val="single"/>
        </w:rPr>
        <w:fldChar w:fldCharType="end"/>
      </w:r>
      <w:r>
        <w:rPr>
          <w:rFonts w:ascii="Times New Roman" w:hAnsi="Times New Roman"/>
          <w:color w:val="auto"/>
          <w:sz w:val="30"/>
          <w:szCs w:val="28"/>
        </w:rPr>
        <w:fldChar w:fldCharType="end"/>
      </w:r>
    </w:p>
    <w:p w14:paraId="76C66644">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"_Toc14281"</w:instrText>
      </w:r>
      <w:r>
        <w:rPr>
          <w:rFonts w:ascii="Times New Roman" w:hAnsi="Times New Roman"/>
          <w:color w:val="auto"/>
          <w:sz w:val="30"/>
          <w:szCs w:val="28"/>
        </w:rPr>
        <w:fldChar w:fldCharType="separate"/>
      </w:r>
      <w:r>
        <w:rPr>
          <w:rFonts w:ascii="Times New Roman" w:hAnsi="Times New Roman"/>
          <w:color w:val="auto"/>
          <w:sz w:val="30"/>
          <w:u w:val="single"/>
        </w:rPr>
        <w:t xml:space="preserve">1 </w:t>
      </w:r>
      <w:r>
        <w:rPr>
          <w:rFonts w:hint="eastAsia" w:ascii="Times New Roman" w:hAnsi="Times New Roman"/>
          <w:color w:val="auto"/>
          <w:sz w:val="30"/>
          <w:u w:val="single"/>
        </w:rPr>
        <w:t>范围</w:t>
      </w:r>
      <w:r>
        <w:rPr>
          <w:color w:val="auto"/>
          <w:sz w:val="30"/>
          <w:u w:val="single"/>
        </w:rPr>
        <w:tab/>
      </w:r>
      <w:r>
        <w:rPr>
          <w:color w:val="auto"/>
          <w:sz w:val="30"/>
          <w:u w:val="single"/>
        </w:rPr>
        <w:fldChar w:fldCharType="begin"/>
      </w:r>
      <w:r>
        <w:rPr>
          <w:color w:val="auto"/>
          <w:sz w:val="30"/>
          <w:u w:val="single"/>
        </w:rPr>
        <w:instrText xml:space="preserve"> PAGEREF _Toc14281 \h </w:instrText>
      </w:r>
      <w:r>
        <w:rPr>
          <w:color w:val="auto"/>
          <w:sz w:val="30"/>
          <w:u w:val="single"/>
        </w:rPr>
        <w:fldChar w:fldCharType="separate"/>
      </w:r>
      <w:r>
        <w:rPr>
          <w:color w:val="auto"/>
          <w:sz w:val="30"/>
          <w:u w:val="single"/>
        </w:rPr>
        <w:t>- 4 -</w:t>
      </w:r>
      <w:r>
        <w:rPr>
          <w:color w:val="auto"/>
          <w:sz w:val="30"/>
          <w:u w:val="single"/>
        </w:rPr>
        <w:fldChar w:fldCharType="end"/>
      </w:r>
      <w:r>
        <w:rPr>
          <w:rFonts w:ascii="Times New Roman" w:hAnsi="Times New Roman"/>
          <w:color w:val="auto"/>
          <w:sz w:val="30"/>
          <w:szCs w:val="28"/>
        </w:rPr>
        <w:fldChar w:fldCharType="end"/>
      </w:r>
    </w:p>
    <w:p w14:paraId="53863B90">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"_Toc14324"</w:instrText>
      </w:r>
      <w:r>
        <w:rPr>
          <w:rFonts w:ascii="Times New Roman" w:hAnsi="Times New Roman"/>
          <w:color w:val="auto"/>
          <w:sz w:val="30"/>
          <w:szCs w:val="28"/>
        </w:rPr>
        <w:fldChar w:fldCharType="separate"/>
      </w:r>
      <w:r>
        <w:rPr>
          <w:rFonts w:ascii="Times New Roman" w:hAnsi="Times New Roman"/>
          <w:color w:val="auto"/>
          <w:sz w:val="30"/>
          <w:u w:val="single"/>
        </w:rPr>
        <w:t xml:space="preserve">2 </w:t>
      </w:r>
      <w:r>
        <w:rPr>
          <w:rFonts w:hint="eastAsia" w:ascii="Times New Roman" w:hAnsi="Times New Roman"/>
          <w:color w:val="auto"/>
          <w:sz w:val="30"/>
          <w:u w:val="single"/>
        </w:rPr>
        <w:t>规范性引用文件</w:t>
      </w:r>
      <w:r>
        <w:rPr>
          <w:color w:val="auto"/>
          <w:sz w:val="30"/>
          <w:u w:val="single"/>
        </w:rPr>
        <w:tab/>
      </w:r>
      <w:r>
        <w:rPr>
          <w:color w:val="auto"/>
          <w:sz w:val="30"/>
          <w:u w:val="single"/>
        </w:rPr>
        <w:fldChar w:fldCharType="begin"/>
      </w:r>
      <w:r>
        <w:rPr>
          <w:color w:val="auto"/>
          <w:sz w:val="30"/>
          <w:u w:val="single"/>
        </w:rPr>
        <w:instrText xml:space="preserve"> PAGEREF _Toc14324 \h </w:instrText>
      </w:r>
      <w:r>
        <w:rPr>
          <w:color w:val="auto"/>
          <w:sz w:val="30"/>
          <w:u w:val="single"/>
        </w:rPr>
        <w:fldChar w:fldCharType="separate"/>
      </w:r>
      <w:r>
        <w:rPr>
          <w:color w:val="auto"/>
          <w:sz w:val="30"/>
          <w:u w:val="single"/>
        </w:rPr>
        <w:t>- 4 -</w:t>
      </w:r>
      <w:r>
        <w:rPr>
          <w:color w:val="auto"/>
          <w:sz w:val="30"/>
          <w:u w:val="single"/>
        </w:rPr>
        <w:fldChar w:fldCharType="end"/>
      </w:r>
      <w:r>
        <w:rPr>
          <w:rFonts w:ascii="Times New Roman" w:hAnsi="Times New Roman"/>
          <w:color w:val="auto"/>
          <w:sz w:val="30"/>
          <w:szCs w:val="28"/>
        </w:rPr>
        <w:fldChar w:fldCharType="end"/>
      </w:r>
    </w:p>
    <w:p w14:paraId="28E51B61">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"_Toc15024"</w:instrText>
      </w:r>
      <w:r>
        <w:rPr>
          <w:rFonts w:ascii="Times New Roman" w:hAnsi="Times New Roman"/>
          <w:color w:val="auto"/>
          <w:sz w:val="30"/>
          <w:szCs w:val="28"/>
        </w:rPr>
        <w:fldChar w:fldCharType="separate"/>
      </w:r>
      <w:r>
        <w:rPr>
          <w:rFonts w:ascii="Times New Roman" w:hAnsi="Times New Roman"/>
          <w:color w:val="auto"/>
          <w:sz w:val="30"/>
          <w:u w:val="single"/>
        </w:rPr>
        <w:t xml:space="preserve">3 </w:t>
      </w:r>
      <w:r>
        <w:rPr>
          <w:rFonts w:hint="eastAsia" w:ascii="Times New Roman" w:hAnsi="Times New Roman"/>
          <w:color w:val="auto"/>
          <w:sz w:val="30"/>
          <w:u w:val="single"/>
        </w:rPr>
        <w:t>术语和定义</w:t>
      </w:r>
      <w:r>
        <w:rPr>
          <w:color w:val="auto"/>
          <w:sz w:val="30"/>
          <w:u w:val="single"/>
        </w:rPr>
        <w:tab/>
      </w:r>
      <w:r>
        <w:rPr>
          <w:color w:val="auto"/>
          <w:sz w:val="30"/>
          <w:u w:val="single"/>
        </w:rPr>
        <w:fldChar w:fldCharType="begin"/>
      </w:r>
      <w:r>
        <w:rPr>
          <w:color w:val="auto"/>
          <w:sz w:val="30"/>
          <w:u w:val="single"/>
        </w:rPr>
        <w:instrText xml:space="preserve"> PAGEREF _Toc15024 \h </w:instrText>
      </w:r>
      <w:r>
        <w:rPr>
          <w:color w:val="auto"/>
          <w:sz w:val="30"/>
          <w:u w:val="single"/>
        </w:rPr>
        <w:fldChar w:fldCharType="separate"/>
      </w:r>
      <w:r>
        <w:rPr>
          <w:color w:val="auto"/>
          <w:sz w:val="30"/>
          <w:u w:val="single"/>
        </w:rPr>
        <w:t>- 4 -</w:t>
      </w:r>
      <w:r>
        <w:rPr>
          <w:color w:val="auto"/>
          <w:sz w:val="30"/>
          <w:u w:val="single"/>
        </w:rPr>
        <w:fldChar w:fldCharType="end"/>
      </w:r>
      <w:r>
        <w:rPr>
          <w:rFonts w:ascii="Times New Roman" w:hAnsi="Times New Roman"/>
          <w:color w:val="auto"/>
          <w:sz w:val="30"/>
          <w:szCs w:val="28"/>
        </w:rPr>
        <w:fldChar w:fldCharType="end"/>
      </w:r>
    </w:p>
    <w:p w14:paraId="56F74F39">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"_Toc19762"</w:instrText>
      </w:r>
      <w:r>
        <w:rPr>
          <w:rFonts w:ascii="Times New Roman" w:hAnsi="Times New Roman"/>
          <w:color w:val="auto"/>
          <w:sz w:val="30"/>
          <w:szCs w:val="28"/>
        </w:rPr>
        <w:fldChar w:fldCharType="separate"/>
      </w:r>
      <w:r>
        <w:rPr>
          <w:rFonts w:ascii="Times New Roman" w:hAnsi="Times New Roman"/>
          <w:color w:val="auto"/>
          <w:sz w:val="30"/>
          <w:u w:val="single"/>
        </w:rPr>
        <w:t xml:space="preserve">4 </w:t>
      </w:r>
      <w:r>
        <w:rPr>
          <w:rFonts w:hint="eastAsia" w:ascii="Times New Roman" w:hAnsi="Times New Roman"/>
          <w:color w:val="auto"/>
          <w:sz w:val="30"/>
          <w:u w:val="single"/>
        </w:rPr>
        <w:t>标准内容</w:t>
      </w:r>
      <w:r>
        <w:rPr>
          <w:color w:val="auto"/>
          <w:sz w:val="30"/>
          <w:u w:val="single"/>
        </w:rPr>
        <w:tab/>
      </w:r>
      <w:r>
        <w:rPr>
          <w:color w:val="auto"/>
          <w:sz w:val="30"/>
          <w:u w:val="single"/>
        </w:rPr>
        <w:fldChar w:fldCharType="begin"/>
      </w:r>
      <w:r>
        <w:rPr>
          <w:color w:val="auto"/>
          <w:sz w:val="30"/>
          <w:u w:val="single"/>
        </w:rPr>
        <w:instrText xml:space="preserve"> PAGEREF _Toc19762 \h </w:instrText>
      </w:r>
      <w:r>
        <w:rPr>
          <w:color w:val="auto"/>
          <w:sz w:val="30"/>
          <w:u w:val="single"/>
        </w:rPr>
        <w:fldChar w:fldCharType="separate"/>
      </w:r>
      <w:r>
        <w:rPr>
          <w:color w:val="auto"/>
          <w:sz w:val="30"/>
          <w:u w:val="single"/>
        </w:rPr>
        <w:t>- 5 -</w:t>
      </w:r>
      <w:r>
        <w:rPr>
          <w:color w:val="auto"/>
          <w:sz w:val="30"/>
          <w:u w:val="single"/>
        </w:rPr>
        <w:fldChar w:fldCharType="end"/>
      </w:r>
      <w:r>
        <w:rPr>
          <w:rFonts w:ascii="Times New Roman" w:hAnsi="Times New Roman"/>
          <w:color w:val="auto"/>
          <w:sz w:val="30"/>
          <w:szCs w:val="28"/>
        </w:rPr>
        <w:fldChar w:fldCharType="end"/>
      </w:r>
    </w:p>
    <w:p w14:paraId="6A0EDDE2">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"_Toc6204"</w:instrText>
      </w:r>
      <w:r>
        <w:rPr>
          <w:rFonts w:ascii="Times New Roman" w:hAnsi="Times New Roman"/>
          <w:color w:val="auto"/>
          <w:sz w:val="30"/>
          <w:szCs w:val="28"/>
        </w:rPr>
        <w:fldChar w:fldCharType="separate"/>
      </w:r>
      <w:r>
        <w:rPr>
          <w:rFonts w:hint="eastAsia" w:ascii="Times New Roman" w:hAnsi="Times New Roman"/>
          <w:color w:val="auto"/>
          <w:sz w:val="30"/>
          <w:u w:val="single"/>
        </w:rPr>
        <w:t>附录（可选）</w:t>
      </w:r>
      <w:r>
        <w:rPr>
          <w:color w:val="auto"/>
          <w:sz w:val="30"/>
          <w:u w:val="single"/>
        </w:rPr>
        <w:tab/>
      </w:r>
      <w:r>
        <w:rPr>
          <w:color w:val="auto"/>
          <w:sz w:val="30"/>
          <w:u w:val="single"/>
        </w:rPr>
        <w:fldChar w:fldCharType="begin"/>
      </w:r>
      <w:r>
        <w:rPr>
          <w:color w:val="auto"/>
          <w:sz w:val="30"/>
          <w:u w:val="single"/>
        </w:rPr>
        <w:instrText xml:space="preserve"> PAGEREF _Toc6204 \h </w:instrText>
      </w:r>
      <w:r>
        <w:rPr>
          <w:color w:val="auto"/>
          <w:sz w:val="30"/>
          <w:u w:val="single"/>
        </w:rPr>
        <w:fldChar w:fldCharType="separate"/>
      </w:r>
      <w:r>
        <w:rPr>
          <w:color w:val="auto"/>
          <w:sz w:val="30"/>
          <w:u w:val="single"/>
        </w:rPr>
        <w:t>- 5 -</w:t>
      </w:r>
      <w:r>
        <w:rPr>
          <w:color w:val="auto"/>
          <w:sz w:val="30"/>
          <w:u w:val="single"/>
        </w:rPr>
        <w:fldChar w:fldCharType="end"/>
      </w:r>
      <w:r>
        <w:rPr>
          <w:rFonts w:ascii="Times New Roman" w:hAnsi="Times New Roman"/>
          <w:color w:val="auto"/>
          <w:sz w:val="30"/>
          <w:szCs w:val="28"/>
        </w:rPr>
        <w:fldChar w:fldCharType="end"/>
      </w:r>
    </w:p>
    <w:p w14:paraId="623C5B43">
      <w:pPr>
        <w:tabs>
          <w:tab w:val="right" w:leader="dot" w:pos="8306"/>
        </w:tabs>
        <w:spacing w:line="180" w:lineRule="auto"/>
        <w:jc w:val="center"/>
        <w:rPr>
          <w:rFonts w:hint="eastAsia"/>
          <w:color w:val="auto"/>
          <w:sz w:val="30"/>
        </w:rPr>
      </w:pPr>
      <w:r>
        <w:rPr>
          <w:rFonts w:ascii="Times New Roman" w:hAnsi="Times New Roman"/>
          <w:color w:val="auto"/>
          <w:sz w:val="30"/>
          <w:szCs w:val="28"/>
        </w:rPr>
        <w:fldChar w:fldCharType="begin"/>
      </w:r>
      <w:r>
        <w:rPr>
          <w:rFonts w:ascii="Times New Roman" w:hAnsi="Times New Roman"/>
          <w:color w:val="auto"/>
          <w:sz w:val="30"/>
          <w:szCs w:val="28"/>
        </w:rPr>
        <w:instrText xml:space="preserve">HYPERLINK "../../../../Desktop/0320重庆市教育评估院四川省教育评估院关于开展首届川渝教育评价标准征集活动的通知（审定）(定).doc" \l "_Toc30556"</w:instrText>
      </w:r>
      <w:r>
        <w:rPr>
          <w:rFonts w:ascii="Times New Roman" w:hAnsi="Times New Roman"/>
          <w:color w:val="auto"/>
          <w:sz w:val="30"/>
          <w:szCs w:val="28"/>
        </w:rPr>
        <w:fldChar w:fldCharType="separate"/>
      </w:r>
      <w:r>
        <w:rPr>
          <w:rFonts w:hint="eastAsia" w:ascii="Times New Roman" w:hAnsi="Times New Roman"/>
          <w:color w:val="auto"/>
          <w:sz w:val="30"/>
          <w:u w:val="single"/>
        </w:rPr>
        <w:t>参考文献</w:t>
      </w:r>
      <w:r>
        <w:rPr>
          <w:color w:val="auto"/>
          <w:sz w:val="30"/>
          <w:u w:val="single"/>
        </w:rPr>
        <w:tab/>
      </w:r>
      <w:r>
        <w:rPr>
          <w:color w:val="auto"/>
          <w:sz w:val="30"/>
          <w:u w:val="single"/>
        </w:rPr>
        <w:fldChar w:fldCharType="begin"/>
      </w:r>
      <w:r>
        <w:rPr>
          <w:color w:val="auto"/>
          <w:sz w:val="30"/>
          <w:u w:val="single"/>
        </w:rPr>
        <w:instrText xml:space="preserve"> PAGEREF _Toc30556 \h </w:instrText>
      </w:r>
      <w:r>
        <w:rPr>
          <w:color w:val="auto"/>
          <w:sz w:val="30"/>
          <w:u w:val="single"/>
        </w:rPr>
        <w:fldChar w:fldCharType="separate"/>
      </w:r>
      <w:r>
        <w:rPr>
          <w:color w:val="auto"/>
          <w:sz w:val="30"/>
          <w:u w:val="single"/>
        </w:rPr>
        <w:t>- 6 -</w:t>
      </w:r>
      <w:r>
        <w:rPr>
          <w:color w:val="auto"/>
          <w:sz w:val="30"/>
          <w:u w:val="single"/>
        </w:rPr>
        <w:fldChar w:fldCharType="end"/>
      </w:r>
      <w:r>
        <w:rPr>
          <w:rFonts w:ascii="Times New Roman" w:hAnsi="Times New Roman"/>
          <w:color w:val="auto"/>
          <w:sz w:val="30"/>
          <w:szCs w:val="28"/>
        </w:rPr>
        <w:fldChar w:fldCharType="end"/>
      </w:r>
    </w:p>
    <w:p w14:paraId="0A3DD3DF">
      <w:pPr>
        <w:rPr>
          <w:rFonts w:hint="eastAsia" w:ascii="Times New Roman" w:hAnsi="Times New Roman"/>
          <w:color w:val="auto"/>
        </w:rPr>
      </w:pPr>
      <w:r>
        <w:rPr>
          <w:rFonts w:ascii="Times New Roman" w:hAnsi="Times New Roman"/>
          <w:color w:val="auto"/>
          <w:szCs w:val="28"/>
        </w:rPr>
        <w:fldChar w:fldCharType="end"/>
      </w:r>
    </w:p>
    <w:p w14:paraId="6E4D63AC">
      <w:pPr>
        <w:rPr>
          <w:rFonts w:ascii="Times New Roman" w:hAnsi="Times New Roman"/>
          <w:color w:val="auto"/>
        </w:rPr>
      </w:pPr>
    </w:p>
    <w:p w14:paraId="39020544">
      <w:pPr>
        <w:rPr>
          <w:rFonts w:ascii="Times New Roman" w:hAnsi="Times New Roman"/>
          <w:color w:val="auto"/>
        </w:rPr>
      </w:pPr>
    </w:p>
    <w:p w14:paraId="07D23041">
      <w:pPr>
        <w:rPr>
          <w:rFonts w:ascii="Times New Roman" w:hAnsi="Times New Roman"/>
        </w:rPr>
      </w:pPr>
    </w:p>
    <w:p w14:paraId="28FC812E">
      <w:pPr>
        <w:rPr>
          <w:rFonts w:ascii="Times New Roman" w:hAnsi="Times New Roman"/>
        </w:rPr>
      </w:pPr>
    </w:p>
    <w:p w14:paraId="02FCF41C">
      <w:pPr>
        <w:rPr>
          <w:rFonts w:ascii="Times New Roman" w:hAnsi="Times New Roman"/>
        </w:rPr>
      </w:pPr>
    </w:p>
    <w:p w14:paraId="389CC948">
      <w:pPr>
        <w:rPr>
          <w:rFonts w:ascii="Times New Roman" w:hAnsi="Times New Roman"/>
        </w:rPr>
      </w:pPr>
    </w:p>
    <w:p w14:paraId="34D16F06">
      <w:pPr>
        <w:rPr>
          <w:rFonts w:ascii="Times New Roman" w:hAnsi="Times New Roman"/>
        </w:rPr>
      </w:pPr>
    </w:p>
    <w:p w14:paraId="42049482">
      <w:pPr>
        <w:rPr>
          <w:rFonts w:ascii="Times New Roman" w:hAnsi="Times New Roman"/>
        </w:rPr>
      </w:pPr>
    </w:p>
    <w:p w14:paraId="77EE2B6F">
      <w:pPr>
        <w:rPr>
          <w:rFonts w:ascii="Times New Roman" w:hAnsi="Times New Roman"/>
        </w:rPr>
      </w:pPr>
    </w:p>
    <w:p w14:paraId="2F54F9A9">
      <w:pPr>
        <w:rPr>
          <w:rFonts w:ascii="Times New Roman" w:hAnsi="Times New Roman"/>
        </w:rPr>
      </w:pPr>
    </w:p>
    <w:p w14:paraId="59F27924">
      <w:pPr>
        <w:rPr>
          <w:rFonts w:ascii="Times New Roman" w:hAnsi="Times New Roman"/>
        </w:rPr>
      </w:pPr>
    </w:p>
    <w:p w14:paraId="675C0B9C">
      <w:pPr>
        <w:rPr>
          <w:rFonts w:ascii="Times New Roman" w:hAnsi="Times New Roman"/>
        </w:rPr>
      </w:pPr>
    </w:p>
    <w:p w14:paraId="7C76B2A2">
      <w:pPr>
        <w:rPr>
          <w:rFonts w:ascii="Times New Roman" w:hAnsi="Times New Roman"/>
        </w:rPr>
      </w:pPr>
    </w:p>
    <w:p w14:paraId="405CB0C6">
      <w:pPr>
        <w:rPr>
          <w:rFonts w:ascii="Times New Roman" w:hAnsi="Times New Roman"/>
        </w:rPr>
      </w:pPr>
    </w:p>
    <w:p w14:paraId="05BF1DC9">
      <w:pPr>
        <w:rPr>
          <w:rFonts w:ascii="Times New Roman" w:hAnsi="Times New Roman"/>
        </w:rPr>
      </w:pPr>
    </w:p>
    <w:p w14:paraId="54DD7C9E">
      <w:pPr>
        <w:rPr>
          <w:rFonts w:ascii="Times New Roman" w:hAnsi="Times New Roman"/>
        </w:rPr>
      </w:pPr>
    </w:p>
    <w:p w14:paraId="57C9F68D">
      <w:pPr>
        <w:rPr>
          <w:rFonts w:ascii="Times New Roman" w:hAnsi="Times New Roman"/>
        </w:rPr>
      </w:pPr>
    </w:p>
    <w:p w14:paraId="211B366D">
      <w:pPr>
        <w:rPr>
          <w:rFonts w:ascii="Times New Roman" w:hAnsi="Times New Roman"/>
        </w:rPr>
      </w:pPr>
    </w:p>
    <w:p w14:paraId="7CD5F211">
      <w:pPr>
        <w:widowControl/>
        <w:jc w:val="left"/>
        <w:rPr>
          <w:rFonts w:ascii="Times New Roman" w:hAnsi="Times New Roman"/>
        </w:rPr>
        <w:sectPr>
          <w:pgSz w:w="11906" w:h="16838"/>
          <w:pgMar w:top="1440" w:right="1800" w:bottom="1440" w:left="1800" w:header="851" w:footer="992" w:gutter="0"/>
          <w:pgNumType w:fmt="numberInDash"/>
          <w:cols w:space="720" w:num="1"/>
          <w:docGrid w:type="lines" w:linePitch="312" w:charSpace="0"/>
        </w:sectPr>
      </w:pPr>
    </w:p>
    <w:p w14:paraId="13BC4DC2">
      <w:pPr>
        <w:rPr>
          <w:rFonts w:ascii="Times New Roman" w:hAnsi="Times New Roman"/>
        </w:rPr>
      </w:pPr>
    </w:p>
    <w:p w14:paraId="455267B1">
      <w:pPr>
        <w:keepNext/>
        <w:keepLines/>
        <w:spacing w:before="340" w:after="330" w:line="576" w:lineRule="auto"/>
        <w:outlineLvl w:val="0"/>
        <w:rPr>
          <w:rFonts w:ascii="Times New Roman" w:hAnsi="Times New Roman"/>
          <w:b/>
          <w:bCs/>
          <w:kern w:val="44"/>
          <w:sz w:val="44"/>
          <w:szCs w:val="44"/>
        </w:rPr>
      </w:pPr>
      <w:bookmarkStart w:id="3" w:name="_Toc31919"/>
      <w:r>
        <w:rPr>
          <w:rFonts w:hint="eastAsia" w:ascii="Times New Roman" w:hAnsi="Times New Roman"/>
          <w:b/>
          <w:bCs/>
          <w:kern w:val="44"/>
          <w:sz w:val="44"/>
          <w:szCs w:val="44"/>
        </w:rPr>
        <w:t>前言</w:t>
      </w:r>
      <w:bookmarkEnd w:id="3"/>
    </w:p>
    <w:p w14:paraId="3E04DB21">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说明标准的制定背景、起草过程、归口单位、起草单位及主要起草人、标准的发布情况（如首次发布或代替标准）</w:t>
      </w:r>
      <w:r>
        <w:rPr>
          <w:rFonts w:ascii="Times New Roman" w:hAnsi="Times New Roman"/>
          <w:b/>
          <w:bCs/>
          <w:i/>
          <w:iCs/>
          <w:sz w:val="24"/>
        </w:rPr>
        <w:t>]</w:t>
      </w:r>
      <w:r>
        <w:rPr>
          <w:rFonts w:hint="eastAsia" w:ascii="Times New Roman" w:hAnsi="Times New Roman"/>
          <w:b/>
          <w:bCs/>
          <w:i/>
          <w:iCs/>
          <w:sz w:val="24"/>
        </w:rPr>
        <w:t>（文本格式：五号，宋体，行距</w:t>
      </w:r>
      <w:r>
        <w:rPr>
          <w:rFonts w:ascii="Times New Roman" w:hAnsi="Times New Roman"/>
          <w:b/>
          <w:bCs/>
          <w:i/>
          <w:iCs/>
          <w:sz w:val="24"/>
        </w:rPr>
        <w:t>20</w:t>
      </w:r>
      <w:r>
        <w:rPr>
          <w:rFonts w:hint="eastAsia" w:ascii="Times New Roman" w:hAnsi="Times New Roman"/>
          <w:b/>
          <w:bCs/>
          <w:i/>
          <w:iCs/>
          <w:sz w:val="24"/>
        </w:rPr>
        <w:t>，数字和英文用</w:t>
      </w:r>
      <w:r>
        <w:rPr>
          <w:rFonts w:ascii="Times New Roman" w:hAnsi="Times New Roman"/>
          <w:b/>
          <w:bCs/>
          <w:i/>
          <w:iCs/>
          <w:sz w:val="24"/>
        </w:rPr>
        <w:t>Times New Roman</w:t>
      </w:r>
      <w:r>
        <w:rPr>
          <w:rFonts w:hint="eastAsia" w:ascii="Times New Roman" w:hAnsi="Times New Roman"/>
          <w:b/>
          <w:bCs/>
          <w:i/>
          <w:iCs/>
          <w:sz w:val="24"/>
        </w:rPr>
        <w:t>字体，下同）</w:t>
      </w:r>
    </w:p>
    <w:p w14:paraId="1F206BFA">
      <w:pPr>
        <w:rPr>
          <w:rFonts w:ascii="Times New Roman" w:hAnsi="Times New Roman"/>
        </w:rPr>
      </w:pPr>
    </w:p>
    <w:p w14:paraId="02CC033D">
      <w:pPr>
        <w:rPr>
          <w:rFonts w:ascii="Times New Roman" w:hAnsi="Times New Roman"/>
        </w:rPr>
      </w:pPr>
      <w:r>
        <w:rPr>
          <w:rFonts w:hint="eastAsia" w:ascii="Times New Roman" w:hAnsi="Times New Roman"/>
        </w:rPr>
        <w:t>【例】</w:t>
      </w:r>
    </w:p>
    <w:p w14:paraId="73804AD7">
      <w:pPr>
        <w:spacing w:line="400" w:lineRule="exact"/>
        <w:rPr>
          <w:rFonts w:ascii="Times New Roman" w:hAnsi="Times New Roman"/>
        </w:rPr>
      </w:pPr>
      <w:r>
        <w:rPr>
          <w:rFonts w:hint="eastAsia" w:ascii="Times New Roman" w:hAnsi="Times New Roman"/>
        </w:rPr>
        <w:t>本文件按照</w:t>
      </w:r>
      <w:r>
        <w:rPr>
          <w:rFonts w:ascii="Times New Roman" w:hAnsi="Times New Roman"/>
        </w:rPr>
        <w:t>GB/T 1.1—2020</w:t>
      </w:r>
      <w:r>
        <w:rPr>
          <w:rFonts w:hint="eastAsia" w:ascii="Times New Roman" w:hAnsi="Times New Roman"/>
        </w:rPr>
        <w:t>《标准化工作导则</w:t>
      </w:r>
      <w:r>
        <w:rPr>
          <w:rFonts w:ascii="Times New Roman" w:hAnsi="Times New Roman"/>
        </w:rPr>
        <w:t xml:space="preserve"> </w:t>
      </w:r>
      <w:r>
        <w:rPr>
          <w:rFonts w:hint="eastAsia" w:ascii="Times New Roman" w:hAnsi="Times New Roman"/>
        </w:rPr>
        <w:t>第</w:t>
      </w:r>
      <w:r>
        <w:rPr>
          <w:rFonts w:ascii="Times New Roman" w:hAnsi="Times New Roman"/>
        </w:rPr>
        <w:t>1</w:t>
      </w:r>
      <w:r>
        <w:rPr>
          <w:rFonts w:hint="eastAsia" w:ascii="Times New Roman" w:hAnsi="Times New Roman"/>
        </w:rPr>
        <w:t>部分：标准化文件的结构和起草规则》的规定起草。</w:t>
      </w:r>
    </w:p>
    <w:p w14:paraId="365C3F4C">
      <w:pPr>
        <w:spacing w:line="400" w:lineRule="exact"/>
        <w:rPr>
          <w:rFonts w:ascii="Times New Roman" w:hAnsi="Times New Roman"/>
        </w:rPr>
      </w:pPr>
      <w:r>
        <w:rPr>
          <w:rFonts w:hint="eastAsia" w:ascii="Times New Roman" w:hAnsi="Times New Roman"/>
        </w:rPr>
        <w:t>本文件由</w:t>
      </w:r>
      <w:r>
        <w:rPr>
          <w:rFonts w:ascii="Times New Roman" w:hAnsi="Times New Roman"/>
        </w:rPr>
        <w:t>XX</w:t>
      </w:r>
      <w:r>
        <w:rPr>
          <w:rFonts w:hint="eastAsia" w:ascii="Times New Roman" w:hAnsi="Times New Roman"/>
        </w:rPr>
        <w:t>省教育评估院、</w:t>
      </w:r>
      <w:r>
        <w:rPr>
          <w:rFonts w:ascii="Times New Roman" w:hAnsi="Times New Roman"/>
        </w:rPr>
        <w:t>XX</w:t>
      </w:r>
      <w:r>
        <w:rPr>
          <w:rFonts w:hint="eastAsia" w:ascii="Times New Roman" w:hAnsi="Times New Roman"/>
        </w:rPr>
        <w:t>市教育评估院提出并归口。</w:t>
      </w:r>
    </w:p>
    <w:p w14:paraId="32B8B874">
      <w:pPr>
        <w:spacing w:line="400" w:lineRule="exact"/>
        <w:rPr>
          <w:rFonts w:ascii="Times New Roman" w:hAnsi="Times New Roman"/>
        </w:rPr>
      </w:pPr>
      <w:r>
        <w:rPr>
          <w:rFonts w:hint="eastAsia" w:ascii="Times New Roman" w:hAnsi="Times New Roman"/>
        </w:rPr>
        <w:t>本文件起草单位：</w:t>
      </w:r>
      <w:r>
        <w:rPr>
          <w:rFonts w:ascii="Times New Roman" w:hAnsi="Times New Roman"/>
        </w:rPr>
        <w:t>XX</w:t>
      </w:r>
      <w:r>
        <w:rPr>
          <w:rFonts w:hint="eastAsia" w:ascii="Times New Roman" w:hAnsi="Times New Roman"/>
        </w:rPr>
        <w:t>省教育评估院、</w:t>
      </w:r>
      <w:r>
        <w:rPr>
          <w:rFonts w:ascii="Times New Roman" w:hAnsi="Times New Roman"/>
        </w:rPr>
        <w:t>XX</w:t>
      </w:r>
      <w:r>
        <w:rPr>
          <w:rFonts w:hint="eastAsia" w:ascii="Times New Roman" w:hAnsi="Times New Roman"/>
        </w:rPr>
        <w:t>市教育评估院、</w:t>
      </w:r>
      <w:r>
        <w:rPr>
          <w:rFonts w:ascii="Times New Roman" w:hAnsi="Times New Roman"/>
        </w:rPr>
        <w:t>XX</w:t>
      </w:r>
      <w:r>
        <w:rPr>
          <w:rFonts w:hint="eastAsia" w:ascii="Times New Roman" w:hAnsi="Times New Roman"/>
        </w:rPr>
        <w:t>大学教育学院、</w:t>
      </w:r>
      <w:r>
        <w:rPr>
          <w:rFonts w:ascii="Times New Roman" w:hAnsi="Times New Roman"/>
        </w:rPr>
        <w:t>XX</w:t>
      </w:r>
      <w:r>
        <w:rPr>
          <w:rFonts w:hint="eastAsia" w:ascii="Times New Roman" w:hAnsi="Times New Roman"/>
        </w:rPr>
        <w:t>省教育科学研究院、</w:t>
      </w:r>
      <w:r>
        <w:rPr>
          <w:rFonts w:ascii="Times New Roman" w:hAnsi="Times New Roman"/>
        </w:rPr>
        <w:t>XX</w:t>
      </w:r>
      <w:r>
        <w:rPr>
          <w:rFonts w:hint="eastAsia" w:ascii="Times New Roman" w:hAnsi="Times New Roman"/>
        </w:rPr>
        <w:t>市中小学卫生保健所。</w:t>
      </w:r>
    </w:p>
    <w:p w14:paraId="28B2BB93">
      <w:pPr>
        <w:spacing w:line="400" w:lineRule="exact"/>
        <w:rPr>
          <w:rFonts w:ascii="Times New Roman" w:hAnsi="Times New Roman"/>
        </w:rPr>
      </w:pPr>
      <w:r>
        <w:rPr>
          <w:rFonts w:hint="eastAsia" w:ascii="Times New Roman" w:hAnsi="Times New Roman"/>
        </w:rPr>
        <w:t>本文件主要起草人：（根据实际情况填写）</w:t>
      </w:r>
    </w:p>
    <w:p w14:paraId="19298CC0">
      <w:pPr>
        <w:spacing w:line="400" w:lineRule="exact"/>
        <w:rPr>
          <w:rFonts w:ascii="Times New Roman" w:hAnsi="Times New Roman"/>
        </w:rPr>
      </w:pPr>
      <w:r>
        <w:rPr>
          <w:rFonts w:hint="eastAsia" w:ascii="Times New Roman" w:hAnsi="Times New Roman"/>
        </w:rPr>
        <w:t>本文件为首次发布。</w:t>
      </w:r>
    </w:p>
    <w:p w14:paraId="3092A347">
      <w:pPr>
        <w:keepNext/>
        <w:keepLines/>
        <w:spacing w:before="340" w:after="330" w:line="576" w:lineRule="auto"/>
        <w:jc w:val="center"/>
        <w:outlineLvl w:val="0"/>
        <w:rPr>
          <w:rFonts w:ascii="Times New Roman" w:hAnsi="Times New Roman"/>
          <w:b/>
          <w:bCs/>
          <w:kern w:val="44"/>
          <w:sz w:val="44"/>
          <w:szCs w:val="44"/>
        </w:rPr>
      </w:pPr>
      <w:bookmarkStart w:id="4" w:name="_Toc17767"/>
      <w:r>
        <w:rPr>
          <w:rFonts w:hint="eastAsia" w:ascii="Times New Roman" w:hAnsi="Times New Roman"/>
          <w:b/>
          <w:bCs/>
          <w:kern w:val="44"/>
          <w:sz w:val="44"/>
          <w:szCs w:val="44"/>
        </w:rPr>
        <w:t>引言</w:t>
      </w:r>
      <w:bookmarkEnd w:id="4"/>
    </w:p>
    <w:p w14:paraId="12C4D1D1">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阐述制定标准的必要性、目的、意义，以及标准所要解决的核心问题。可简要介绍标准的核心理念、技术框架或预期作用。描述要紧扣主题，避免空泛议论，不宜过长，要突出标准的应用价值和导向性</w:t>
      </w:r>
      <w:r>
        <w:rPr>
          <w:rFonts w:ascii="Times New Roman" w:hAnsi="Times New Roman"/>
          <w:b/>
          <w:bCs/>
          <w:i/>
          <w:iCs/>
          <w:sz w:val="24"/>
        </w:rPr>
        <w:t>]</w:t>
      </w:r>
    </w:p>
    <w:p w14:paraId="1281E07D">
      <w:pPr>
        <w:rPr>
          <w:rFonts w:ascii="Times New Roman" w:hAnsi="Times New Roman"/>
        </w:rPr>
      </w:pPr>
    </w:p>
    <w:p w14:paraId="30FCBDEC">
      <w:pPr>
        <w:rPr>
          <w:rFonts w:ascii="Times New Roman" w:hAnsi="Times New Roman"/>
        </w:rPr>
      </w:pPr>
      <w:r>
        <w:rPr>
          <w:rFonts w:hint="eastAsia" w:ascii="Times New Roman" w:hAnsi="Times New Roman"/>
        </w:rPr>
        <w:t>【例】</w:t>
      </w:r>
    </w:p>
    <w:p w14:paraId="3940167D">
      <w:pPr>
        <w:ind w:firstLine="420" w:firstLineChars="200"/>
        <w:jc w:val="center"/>
        <w:rPr>
          <w:rFonts w:ascii="Times New Roman" w:hAnsi="Times New Roman"/>
        </w:rPr>
      </w:pPr>
      <w:r>
        <w:rPr>
          <w:rFonts w:hint="eastAsia" w:ascii="Times New Roman" w:hAnsi="Times New Roman"/>
        </w:rPr>
        <w:t>引言</w:t>
      </w:r>
    </w:p>
    <w:p w14:paraId="4BF6AB1A">
      <w:pPr>
        <w:spacing w:line="400" w:lineRule="exact"/>
        <w:ind w:firstLine="420" w:firstLineChars="200"/>
        <w:rPr>
          <w:rFonts w:ascii="Times New Roman" w:hAnsi="Times New Roman"/>
        </w:rPr>
      </w:pPr>
      <w:r>
        <w:rPr>
          <w:rFonts w:hint="eastAsia" w:ascii="Times New Roman" w:hAnsi="Times New Roman"/>
        </w:rPr>
        <w:t>为贯彻落实《</w:t>
      </w:r>
      <w:r>
        <w:rPr>
          <w:rFonts w:ascii="Times New Roman" w:hAnsi="Times New Roman"/>
        </w:rPr>
        <w:t>“</w:t>
      </w:r>
      <w:r>
        <w:rPr>
          <w:rFonts w:hint="eastAsia" w:ascii="Times New Roman" w:hAnsi="Times New Roman"/>
        </w:rPr>
        <w:t>健康中国</w:t>
      </w:r>
      <w:r>
        <w:rPr>
          <w:rFonts w:ascii="Times New Roman" w:hAnsi="Times New Roman"/>
        </w:rPr>
        <w:t>2030”</w:t>
      </w:r>
      <w:r>
        <w:rPr>
          <w:rFonts w:hint="eastAsia" w:ascii="Times New Roman" w:hAnsi="Times New Roman"/>
        </w:rPr>
        <w:t>规划纲要》《深化新时代教育评价改革总体方案》及教育部《关于全面推进健康学校建设的指导意见》等文件精神，践行</w:t>
      </w:r>
      <w:r>
        <w:rPr>
          <w:rFonts w:ascii="Times New Roman" w:hAnsi="Times New Roman"/>
        </w:rPr>
        <w:t>“</w:t>
      </w:r>
      <w:r>
        <w:rPr>
          <w:rFonts w:hint="eastAsia" w:ascii="Times New Roman" w:hAnsi="Times New Roman"/>
        </w:rPr>
        <w:t>健康第一</w:t>
      </w:r>
      <w:r>
        <w:rPr>
          <w:rFonts w:ascii="Times New Roman" w:hAnsi="Times New Roman"/>
        </w:rPr>
        <w:t>”</w:t>
      </w:r>
      <w:r>
        <w:rPr>
          <w:rFonts w:hint="eastAsia" w:ascii="Times New Roman" w:hAnsi="Times New Roman"/>
        </w:rPr>
        <w:t>教育理念，科学评价中小学健康教育工作质量，引导学生养成健康生活方式，特制定本文件。</w:t>
      </w:r>
    </w:p>
    <w:p w14:paraId="2A68BFF8">
      <w:pPr>
        <w:spacing w:line="400" w:lineRule="exact"/>
        <w:ind w:firstLine="420" w:firstLineChars="200"/>
        <w:rPr>
          <w:rFonts w:ascii="Times New Roman" w:hAnsi="Times New Roman"/>
        </w:rPr>
      </w:pPr>
      <w:r>
        <w:rPr>
          <w:rFonts w:hint="eastAsia" w:ascii="Times New Roman" w:hAnsi="Times New Roman"/>
        </w:rPr>
        <w:t>当前，中小学健康教育评价存在指标不统一、过程难量化、结果应用不充分等问题。本文件旨在构建一套导向正确、科学规范、操作性强的健康教育评价标准，为教育行政部门、教研机构及中小学校开展健康教育评价提供依据和工具，推动区域健康教育水平整体提升。</w:t>
      </w:r>
    </w:p>
    <w:p w14:paraId="0D25E42E">
      <w:pPr>
        <w:keepNext/>
        <w:keepLines/>
        <w:spacing w:before="340" w:after="330" w:line="576" w:lineRule="auto"/>
        <w:jc w:val="center"/>
        <w:outlineLvl w:val="0"/>
        <w:rPr>
          <w:rFonts w:ascii="Times New Roman" w:hAnsi="Times New Roman"/>
          <w:b/>
          <w:bCs/>
          <w:kern w:val="44"/>
          <w:sz w:val="44"/>
          <w:szCs w:val="44"/>
        </w:rPr>
      </w:pPr>
      <w:bookmarkStart w:id="5" w:name="_Toc14281"/>
      <w:r>
        <w:rPr>
          <w:rFonts w:ascii="Times New Roman" w:hAnsi="Times New Roman"/>
          <w:b/>
          <w:bCs/>
          <w:kern w:val="44"/>
          <w:sz w:val="44"/>
          <w:szCs w:val="44"/>
        </w:rPr>
        <w:t xml:space="preserve">1 </w:t>
      </w:r>
      <w:r>
        <w:rPr>
          <w:rFonts w:hint="eastAsia" w:ascii="Times New Roman" w:hAnsi="Times New Roman"/>
          <w:b/>
          <w:bCs/>
          <w:kern w:val="44"/>
          <w:sz w:val="44"/>
          <w:szCs w:val="44"/>
        </w:rPr>
        <w:t>范围</w:t>
      </w:r>
      <w:bookmarkEnd w:id="5"/>
    </w:p>
    <w:p w14:paraId="306B801E">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明确规定标准的适用情况、适用范围和主要用途。说明本标准“规定了什么”“适用于什么场景”。表达应清晰、无歧义，使用“本文件规定了</w:t>
      </w:r>
      <w:r>
        <w:rPr>
          <w:rFonts w:ascii="Times New Roman" w:hAnsi="Times New Roman"/>
          <w:b/>
          <w:bCs/>
          <w:i/>
          <w:iCs/>
          <w:sz w:val="24"/>
        </w:rPr>
        <w:t>......</w:t>
      </w:r>
      <w:r>
        <w:rPr>
          <w:rFonts w:hint="eastAsia" w:ascii="Times New Roman" w:hAnsi="Times New Roman"/>
          <w:b/>
          <w:bCs/>
          <w:i/>
          <w:iCs/>
          <w:sz w:val="24"/>
        </w:rPr>
        <w:t>”“本文件适用于</w:t>
      </w:r>
      <w:r>
        <w:rPr>
          <w:rFonts w:ascii="Times New Roman" w:hAnsi="Times New Roman"/>
          <w:b/>
          <w:bCs/>
          <w:i/>
          <w:iCs/>
          <w:sz w:val="24"/>
        </w:rPr>
        <w:t>......</w:t>
      </w:r>
      <w:r>
        <w:rPr>
          <w:rFonts w:hint="eastAsia" w:ascii="Times New Roman" w:hAnsi="Times New Roman"/>
          <w:b/>
          <w:bCs/>
          <w:i/>
          <w:iCs/>
          <w:sz w:val="24"/>
        </w:rPr>
        <w:t>”等典型句式。如有不适用的情况，也应说明。</w:t>
      </w:r>
      <w:r>
        <w:rPr>
          <w:rFonts w:ascii="Times New Roman" w:hAnsi="Times New Roman"/>
          <w:b/>
          <w:bCs/>
          <w:i/>
          <w:iCs/>
          <w:sz w:val="24"/>
        </w:rPr>
        <w:t>]</w:t>
      </w:r>
    </w:p>
    <w:p w14:paraId="3069ABDB">
      <w:pPr>
        <w:rPr>
          <w:rFonts w:ascii="Times New Roman" w:hAnsi="Times New Roman"/>
        </w:rPr>
      </w:pPr>
    </w:p>
    <w:p w14:paraId="03EE8DD4">
      <w:pPr>
        <w:rPr>
          <w:rFonts w:ascii="Times New Roman" w:hAnsi="Times New Roman"/>
        </w:rPr>
      </w:pPr>
      <w:r>
        <w:rPr>
          <w:rFonts w:hint="eastAsia" w:ascii="Times New Roman" w:hAnsi="Times New Roman"/>
        </w:rPr>
        <w:t>【例】</w:t>
      </w:r>
    </w:p>
    <w:p w14:paraId="191526D5">
      <w:pPr>
        <w:spacing w:line="400" w:lineRule="exact"/>
        <w:ind w:firstLine="420" w:firstLineChars="200"/>
        <w:rPr>
          <w:rFonts w:ascii="Times New Roman" w:hAnsi="Times New Roman"/>
        </w:rPr>
      </w:pPr>
      <w:r>
        <w:rPr>
          <w:rFonts w:ascii="Times New Roman" w:hAnsi="Times New Roman"/>
        </w:rPr>
        <w:t xml:space="preserve">1 </w:t>
      </w:r>
      <w:r>
        <w:rPr>
          <w:rFonts w:hint="eastAsia" w:ascii="Times New Roman" w:hAnsi="Times New Roman"/>
        </w:rPr>
        <w:t>范围</w:t>
      </w:r>
    </w:p>
    <w:p w14:paraId="3F42DC25">
      <w:pPr>
        <w:spacing w:line="400" w:lineRule="exact"/>
        <w:ind w:firstLine="420" w:firstLineChars="200"/>
        <w:rPr>
          <w:rFonts w:ascii="Times New Roman" w:hAnsi="Times New Roman"/>
        </w:rPr>
      </w:pPr>
      <w:r>
        <w:rPr>
          <w:rFonts w:hint="eastAsia" w:ascii="Times New Roman" w:hAnsi="Times New Roman"/>
        </w:rPr>
        <w:t>本文件规定了中小学健康教育评价的评价原则、评价内容与指标、评价方法与程序、评价结果与应用。</w:t>
      </w:r>
    </w:p>
    <w:p w14:paraId="7B6809EC">
      <w:pPr>
        <w:spacing w:line="400" w:lineRule="exact"/>
        <w:ind w:firstLine="420" w:firstLineChars="200"/>
        <w:rPr>
          <w:rFonts w:ascii="Times New Roman" w:hAnsi="Times New Roman"/>
        </w:rPr>
      </w:pPr>
      <w:r>
        <w:rPr>
          <w:rFonts w:hint="eastAsia" w:ascii="Times New Roman" w:hAnsi="Times New Roman"/>
        </w:rPr>
        <w:t>本文件适用于川渝两地教育行政部门对区域内中小学校健康教育工作的督导评估，以及中小学校自我评价和改进。幼儿园健康教育评价可参照执行。</w:t>
      </w:r>
    </w:p>
    <w:p w14:paraId="7749A05C">
      <w:pPr>
        <w:rPr>
          <w:rFonts w:ascii="Times New Roman" w:hAnsi="Times New Roman"/>
        </w:rPr>
      </w:pPr>
    </w:p>
    <w:p w14:paraId="5CAF53C5">
      <w:pPr>
        <w:keepNext/>
        <w:keepLines/>
        <w:spacing w:before="340" w:after="330" w:line="576" w:lineRule="auto"/>
        <w:jc w:val="center"/>
        <w:outlineLvl w:val="0"/>
        <w:rPr>
          <w:rFonts w:ascii="Times New Roman" w:hAnsi="Times New Roman"/>
          <w:b/>
          <w:bCs/>
          <w:kern w:val="44"/>
          <w:sz w:val="44"/>
          <w:szCs w:val="44"/>
        </w:rPr>
      </w:pPr>
      <w:bookmarkStart w:id="6" w:name="_Toc14324"/>
      <w:r>
        <w:rPr>
          <w:rFonts w:ascii="Times New Roman" w:hAnsi="Times New Roman"/>
          <w:b/>
          <w:bCs/>
          <w:kern w:val="44"/>
          <w:sz w:val="44"/>
          <w:szCs w:val="44"/>
        </w:rPr>
        <w:t xml:space="preserve">2 </w:t>
      </w:r>
      <w:r>
        <w:rPr>
          <w:rFonts w:hint="eastAsia" w:ascii="Times New Roman" w:hAnsi="Times New Roman"/>
          <w:b/>
          <w:bCs/>
          <w:kern w:val="44"/>
          <w:sz w:val="44"/>
          <w:szCs w:val="44"/>
        </w:rPr>
        <w:t>规范性引用文件</w:t>
      </w:r>
      <w:bookmarkEnd w:id="6"/>
    </w:p>
    <w:p w14:paraId="5C2E4625">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本部分列出标准中采用的规范性引用的其他文件（如国家标准、行业标准、政策文件等），如无引用，则写无</w:t>
      </w:r>
      <w:r>
        <w:rPr>
          <w:rFonts w:ascii="Times New Roman" w:hAnsi="Times New Roman"/>
          <w:b/>
          <w:bCs/>
          <w:i/>
          <w:iCs/>
          <w:sz w:val="24"/>
        </w:rPr>
        <w:t>]</w:t>
      </w:r>
    </w:p>
    <w:p w14:paraId="6ED0F567">
      <w:pPr>
        <w:rPr>
          <w:rFonts w:ascii="Times New Roman" w:hAnsi="Times New Roman"/>
        </w:rPr>
      </w:pPr>
    </w:p>
    <w:p w14:paraId="7400BDBB">
      <w:pPr>
        <w:rPr>
          <w:rFonts w:ascii="Times New Roman" w:hAnsi="Times New Roman"/>
        </w:rPr>
      </w:pPr>
      <w:r>
        <w:rPr>
          <w:rFonts w:hint="eastAsia" w:ascii="Times New Roman" w:hAnsi="Times New Roman"/>
        </w:rPr>
        <w:t>【例】</w:t>
      </w:r>
    </w:p>
    <w:p w14:paraId="25D5539B">
      <w:pPr>
        <w:spacing w:line="400" w:lineRule="exact"/>
        <w:ind w:firstLine="420" w:firstLineChars="200"/>
        <w:rPr>
          <w:rFonts w:ascii="Times New Roman" w:hAnsi="Times New Roman"/>
        </w:rPr>
      </w:pPr>
      <w:r>
        <w:rPr>
          <w:rFonts w:ascii="Times New Roman" w:hAnsi="Times New Roman"/>
        </w:rPr>
        <w:t xml:space="preserve">2 </w:t>
      </w:r>
      <w:r>
        <w:rPr>
          <w:rFonts w:hint="eastAsia" w:ascii="Times New Roman" w:hAnsi="Times New Roman"/>
        </w:rPr>
        <w:t>规范性引用文件</w:t>
      </w:r>
    </w:p>
    <w:p w14:paraId="6714BD26">
      <w:pPr>
        <w:spacing w:line="400" w:lineRule="exact"/>
        <w:ind w:firstLine="420" w:firstLineChars="200"/>
        <w:rPr>
          <w:rFonts w:ascii="Times New Roman" w:hAnsi="Times New Roman"/>
        </w:rPr>
      </w:pPr>
      <w:r>
        <w:rPr>
          <w:rFonts w:hint="eastAsia"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579E9EA">
      <w:pPr>
        <w:spacing w:line="400" w:lineRule="exact"/>
        <w:ind w:firstLine="420" w:firstLineChars="200"/>
        <w:rPr>
          <w:rFonts w:ascii="Times New Roman" w:hAnsi="Times New Roman"/>
        </w:rPr>
      </w:pPr>
      <w:r>
        <w:rPr>
          <w:rFonts w:ascii="Times New Roman" w:hAnsi="Times New Roman"/>
        </w:rPr>
        <w:t xml:space="preserve">GB/T 18206—2011 </w:t>
      </w:r>
      <w:r>
        <w:rPr>
          <w:rFonts w:hint="eastAsia" w:ascii="Times New Roman" w:hAnsi="Times New Roman"/>
        </w:rPr>
        <w:t>中小学健康教育规范</w:t>
      </w:r>
    </w:p>
    <w:p w14:paraId="30062838">
      <w:pPr>
        <w:spacing w:line="400" w:lineRule="exact"/>
        <w:ind w:firstLine="420" w:firstLineChars="200"/>
        <w:rPr>
          <w:rFonts w:ascii="Times New Roman" w:hAnsi="Times New Roman"/>
        </w:rPr>
      </w:pPr>
      <w:r>
        <w:rPr>
          <w:rFonts w:ascii="Times New Roman" w:hAnsi="Times New Roman"/>
        </w:rPr>
        <w:t xml:space="preserve">GB/T 34276—2017 </w:t>
      </w:r>
      <w:r>
        <w:rPr>
          <w:rFonts w:hint="eastAsia" w:ascii="Times New Roman" w:hAnsi="Times New Roman"/>
        </w:rPr>
        <w:t>健康教育服务规范</w:t>
      </w:r>
    </w:p>
    <w:p w14:paraId="64BBB89A">
      <w:pPr>
        <w:spacing w:line="400" w:lineRule="exact"/>
        <w:ind w:firstLine="420" w:firstLineChars="200"/>
        <w:rPr>
          <w:rFonts w:ascii="Times New Roman" w:hAnsi="Times New Roman"/>
        </w:rPr>
      </w:pPr>
      <w:r>
        <w:rPr>
          <w:rFonts w:hint="eastAsia" w:ascii="Times New Roman" w:hAnsi="Times New Roman"/>
        </w:rPr>
        <w:t>……</w:t>
      </w:r>
    </w:p>
    <w:p w14:paraId="1D3C6015">
      <w:pPr>
        <w:keepNext/>
        <w:keepLines/>
        <w:spacing w:before="340" w:after="330" w:line="576" w:lineRule="auto"/>
        <w:jc w:val="center"/>
        <w:outlineLvl w:val="0"/>
        <w:rPr>
          <w:rFonts w:ascii="Times New Roman" w:hAnsi="Times New Roman"/>
          <w:b/>
          <w:bCs/>
          <w:kern w:val="44"/>
          <w:sz w:val="44"/>
          <w:szCs w:val="44"/>
        </w:rPr>
      </w:pPr>
      <w:bookmarkStart w:id="7" w:name="_Toc15024"/>
      <w:r>
        <w:rPr>
          <w:rFonts w:ascii="Times New Roman" w:hAnsi="Times New Roman"/>
          <w:b/>
          <w:bCs/>
          <w:kern w:val="44"/>
          <w:sz w:val="44"/>
          <w:szCs w:val="44"/>
        </w:rPr>
        <w:t xml:space="preserve">3 </w:t>
      </w:r>
      <w:r>
        <w:rPr>
          <w:rFonts w:hint="eastAsia" w:ascii="Times New Roman" w:hAnsi="Times New Roman"/>
          <w:b/>
          <w:bCs/>
          <w:kern w:val="44"/>
          <w:sz w:val="44"/>
          <w:szCs w:val="44"/>
        </w:rPr>
        <w:t>术语和定义</w:t>
      </w:r>
      <w:bookmarkEnd w:id="7"/>
    </w:p>
    <w:p w14:paraId="270FAD7D">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本部分对标准中使用的核心术语、概念进行界定，确保使用者对关键概念理解一致。每条术语单独编号定义应明确、简明，避免循环定义。术语应选择标准中出现且可能引起歧义的专业词汇。</w:t>
      </w:r>
      <w:r>
        <w:rPr>
          <w:rFonts w:ascii="Times New Roman" w:hAnsi="Times New Roman"/>
          <w:b/>
          <w:bCs/>
          <w:i/>
          <w:iCs/>
          <w:sz w:val="24"/>
        </w:rPr>
        <w:t>]</w:t>
      </w:r>
    </w:p>
    <w:p w14:paraId="25624E2B">
      <w:pPr>
        <w:spacing w:line="400" w:lineRule="exact"/>
        <w:rPr>
          <w:rFonts w:ascii="Times New Roman" w:hAnsi="Times New Roman"/>
          <w:i/>
          <w:iCs/>
          <w:sz w:val="24"/>
        </w:rPr>
      </w:pPr>
      <w:r>
        <w:rPr>
          <w:rFonts w:hint="eastAsia" w:ascii="Times New Roman" w:hAnsi="Times New Roman"/>
          <w:i/>
          <w:iCs/>
          <w:sz w:val="24"/>
        </w:rPr>
        <w:t>【例】</w:t>
      </w:r>
    </w:p>
    <w:p w14:paraId="66EBE02D">
      <w:pPr>
        <w:spacing w:line="400" w:lineRule="exact"/>
        <w:ind w:firstLine="420" w:firstLineChars="200"/>
        <w:rPr>
          <w:rFonts w:ascii="Times New Roman" w:hAnsi="Times New Roman"/>
        </w:rPr>
      </w:pPr>
      <w:r>
        <w:rPr>
          <w:rFonts w:ascii="Times New Roman" w:hAnsi="Times New Roman"/>
        </w:rPr>
        <w:t xml:space="preserve">3 </w:t>
      </w:r>
      <w:r>
        <w:rPr>
          <w:rFonts w:hint="eastAsia" w:ascii="Times New Roman" w:hAnsi="Times New Roman"/>
        </w:rPr>
        <w:t>术语和定义</w:t>
      </w:r>
    </w:p>
    <w:p w14:paraId="5BAFC7F2">
      <w:pPr>
        <w:spacing w:line="400" w:lineRule="exact"/>
        <w:ind w:firstLine="420" w:firstLineChars="200"/>
        <w:rPr>
          <w:rFonts w:ascii="Times New Roman" w:hAnsi="Times New Roman"/>
        </w:rPr>
      </w:pPr>
      <w:r>
        <w:rPr>
          <w:rFonts w:hint="eastAsia" w:ascii="Times New Roman" w:hAnsi="Times New Roman"/>
        </w:rPr>
        <w:t>下列术语和定义适用于本文件。</w:t>
      </w:r>
    </w:p>
    <w:p w14:paraId="5A8E5A57">
      <w:pPr>
        <w:spacing w:line="400" w:lineRule="exact"/>
        <w:ind w:firstLine="420" w:firstLineChars="200"/>
        <w:rPr>
          <w:rFonts w:ascii="Times New Roman" w:hAnsi="Times New Roman"/>
        </w:rPr>
      </w:pPr>
      <w:r>
        <w:rPr>
          <w:rFonts w:ascii="Times New Roman" w:hAnsi="Times New Roman"/>
        </w:rPr>
        <w:t xml:space="preserve">3.1 </w:t>
      </w:r>
      <w:r>
        <w:rPr>
          <w:rFonts w:hint="eastAsia" w:ascii="Times New Roman" w:hAnsi="Times New Roman"/>
        </w:rPr>
        <w:t>健康教育</w:t>
      </w:r>
      <w:r>
        <w:rPr>
          <w:rFonts w:ascii="Times New Roman" w:hAnsi="Times New Roman"/>
        </w:rPr>
        <w:t xml:space="preserve"> health education</w:t>
      </w:r>
    </w:p>
    <w:p w14:paraId="0CE0C84C">
      <w:pPr>
        <w:spacing w:line="400" w:lineRule="exact"/>
        <w:ind w:firstLine="420" w:firstLineChars="200"/>
        <w:rPr>
          <w:rFonts w:ascii="Times New Roman" w:hAnsi="Times New Roman"/>
        </w:rPr>
      </w:pPr>
      <w:r>
        <w:rPr>
          <w:rFonts w:hint="eastAsia" w:ascii="Times New Roman" w:hAnsi="Times New Roman"/>
        </w:rPr>
        <w:t>有组织、有计划、有评价的教育活动，旨在帮助学生形成健康意识、掌握健康知识、养成健康行为习惯。</w:t>
      </w:r>
    </w:p>
    <w:p w14:paraId="22990812">
      <w:pPr>
        <w:spacing w:line="400" w:lineRule="exact"/>
        <w:ind w:firstLine="420" w:firstLineChars="200"/>
        <w:rPr>
          <w:rFonts w:ascii="Times New Roman" w:hAnsi="Times New Roman"/>
        </w:rPr>
      </w:pPr>
      <w:r>
        <w:rPr>
          <w:rFonts w:hint="eastAsia" w:ascii="Times New Roman" w:hAnsi="Times New Roman"/>
        </w:rPr>
        <w:t>……</w:t>
      </w:r>
    </w:p>
    <w:p w14:paraId="10FE6E88">
      <w:pPr>
        <w:keepNext/>
        <w:keepLines/>
        <w:spacing w:before="340" w:after="330" w:line="576" w:lineRule="auto"/>
        <w:jc w:val="center"/>
        <w:outlineLvl w:val="0"/>
        <w:rPr>
          <w:rFonts w:ascii="Times New Roman" w:hAnsi="Times New Roman"/>
          <w:b/>
          <w:bCs/>
          <w:kern w:val="44"/>
          <w:sz w:val="44"/>
          <w:szCs w:val="44"/>
        </w:rPr>
      </w:pPr>
      <w:bookmarkStart w:id="8" w:name="_Toc19762"/>
      <w:r>
        <w:rPr>
          <w:rFonts w:ascii="Times New Roman" w:hAnsi="Times New Roman"/>
          <w:b/>
          <w:bCs/>
          <w:kern w:val="44"/>
          <w:sz w:val="44"/>
          <w:szCs w:val="44"/>
        </w:rPr>
        <w:t xml:space="preserve">4 </w:t>
      </w:r>
      <w:r>
        <w:rPr>
          <w:rFonts w:hint="eastAsia" w:ascii="Times New Roman" w:hAnsi="Times New Roman"/>
          <w:b/>
          <w:bCs/>
          <w:kern w:val="44"/>
          <w:sz w:val="44"/>
          <w:szCs w:val="44"/>
        </w:rPr>
        <w:t>标准内容</w:t>
      </w:r>
      <w:bookmarkEnd w:id="8"/>
    </w:p>
    <w:p w14:paraId="7EA132F5">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本部分列出评价维度、指标体系、标准内容、评价方法、结果运用等内容，可用表格形式。</w:t>
      </w:r>
      <w:r>
        <w:rPr>
          <w:rFonts w:ascii="Times New Roman" w:hAnsi="Times New Roman"/>
          <w:b/>
          <w:bCs/>
          <w:i/>
          <w:iCs/>
          <w:sz w:val="24"/>
        </w:rPr>
        <w:t>]</w:t>
      </w:r>
      <w:r>
        <w:rPr>
          <w:rFonts w:hint="eastAsia" w:ascii="Times New Roman" w:hAnsi="Times New Roman"/>
          <w:b/>
          <w:bCs/>
          <w:i/>
          <w:iCs/>
          <w:sz w:val="24"/>
        </w:rPr>
        <w:t>（表格中的文本格式：五号，宋体，行距</w:t>
      </w:r>
      <w:r>
        <w:rPr>
          <w:rFonts w:ascii="Times New Roman" w:hAnsi="Times New Roman"/>
          <w:b/>
          <w:bCs/>
          <w:i/>
          <w:iCs/>
          <w:sz w:val="24"/>
        </w:rPr>
        <w:t>20</w:t>
      </w:r>
      <w:r>
        <w:rPr>
          <w:rFonts w:hint="eastAsia" w:ascii="Times New Roman" w:hAnsi="Times New Roman"/>
          <w:b/>
          <w:bCs/>
          <w:i/>
          <w:iCs/>
          <w:sz w:val="24"/>
        </w:rPr>
        <w:t>，数字和英文用</w:t>
      </w:r>
      <w:r>
        <w:rPr>
          <w:rFonts w:ascii="Times New Roman" w:hAnsi="Times New Roman"/>
          <w:b/>
          <w:bCs/>
          <w:i/>
          <w:iCs/>
          <w:sz w:val="24"/>
        </w:rPr>
        <w:t>times new roman</w:t>
      </w:r>
      <w:r>
        <w:rPr>
          <w:rFonts w:hint="eastAsia" w:ascii="Times New Roman" w:hAnsi="Times New Roman"/>
          <w:b/>
          <w:bCs/>
          <w:i/>
          <w:iCs/>
          <w:sz w:val="24"/>
        </w:rPr>
        <w:t>字体，下同）</w:t>
      </w:r>
    </w:p>
    <w:p w14:paraId="7D4901F8">
      <w:pPr>
        <w:rPr>
          <w:rFonts w:ascii="Times New Roman" w:hAnsi="Times New Roman"/>
          <w:color w:val="000000"/>
          <w:sz w:val="24"/>
        </w:rPr>
      </w:pPr>
    </w:p>
    <w:p w14:paraId="05AB13C8">
      <w:pPr>
        <w:rPr>
          <w:rFonts w:ascii="Times New Roman" w:hAnsi="Times New Roman"/>
          <w:i/>
          <w:iCs/>
          <w:sz w:val="24"/>
        </w:rPr>
      </w:pPr>
      <w:r>
        <w:rPr>
          <w:rFonts w:hint="eastAsia" w:ascii="Times New Roman" w:hAnsi="Times New Roman"/>
          <w:color w:val="000000"/>
          <w:sz w:val="24"/>
        </w:rPr>
        <w:t>【例】</w:t>
      </w:r>
    </w:p>
    <w:p w14:paraId="76A09227">
      <w:pPr>
        <w:spacing w:line="400" w:lineRule="exact"/>
        <w:ind w:firstLine="420" w:firstLineChars="200"/>
        <w:rPr>
          <w:rFonts w:ascii="Times New Roman" w:hAnsi="Times New Roman"/>
        </w:rPr>
      </w:pPr>
      <w:r>
        <w:rPr>
          <w:rFonts w:ascii="Times New Roman" w:hAnsi="Times New Roman"/>
        </w:rPr>
        <w:t xml:space="preserve">4 </w:t>
      </w:r>
      <w:r>
        <w:rPr>
          <w:rFonts w:hint="eastAsia" w:ascii="Times New Roman" w:hAnsi="Times New Roman"/>
        </w:rPr>
        <w:t>标准内容</w:t>
      </w:r>
    </w:p>
    <w:p w14:paraId="6C998BF5">
      <w:pPr>
        <w:spacing w:line="400" w:lineRule="exact"/>
        <w:ind w:firstLine="420" w:firstLineChars="200"/>
        <w:rPr>
          <w:rFonts w:ascii="Times New Roman" w:hAnsi="Times New Roman"/>
        </w:rPr>
      </w:pPr>
      <w:r>
        <w:rPr>
          <w:rFonts w:ascii="Times New Roman" w:hAnsi="Times New Roman"/>
        </w:rPr>
        <w:t xml:space="preserve">4.1 </w:t>
      </w:r>
      <w:r>
        <w:rPr>
          <w:rFonts w:hint="eastAsia" w:ascii="Times New Roman" w:hAnsi="Times New Roman"/>
        </w:rPr>
        <w:t>评价原则</w:t>
      </w:r>
    </w:p>
    <w:p w14:paraId="2CEAA235">
      <w:pPr>
        <w:spacing w:line="400" w:lineRule="exact"/>
        <w:ind w:firstLine="420" w:firstLineChars="200"/>
        <w:rPr>
          <w:rFonts w:ascii="Times New Roman" w:hAnsi="Times New Roman"/>
        </w:rPr>
      </w:pPr>
      <w:r>
        <w:rPr>
          <w:rFonts w:ascii="Times New Roman" w:hAnsi="Times New Roman"/>
        </w:rPr>
        <w:t xml:space="preserve">4.1.1 </w:t>
      </w:r>
      <w:r>
        <w:rPr>
          <w:rFonts w:hint="eastAsia" w:ascii="Times New Roman" w:hAnsi="Times New Roman"/>
        </w:rPr>
        <w:t>导向性原则</w:t>
      </w:r>
    </w:p>
    <w:p w14:paraId="09CB66AF">
      <w:pPr>
        <w:spacing w:line="400" w:lineRule="exact"/>
        <w:ind w:firstLine="420" w:firstLineChars="200"/>
        <w:rPr>
          <w:rFonts w:ascii="Times New Roman" w:hAnsi="Times New Roman"/>
        </w:rPr>
      </w:pPr>
      <w:r>
        <w:rPr>
          <w:rFonts w:hint="eastAsia" w:ascii="Times New Roman" w:hAnsi="Times New Roman"/>
        </w:rPr>
        <w:t>坚持立德树人根本任务，引导学生树立“健康第一”理念，破除唯分数、唯升学倾向。</w:t>
      </w:r>
    </w:p>
    <w:p w14:paraId="71F7E39E">
      <w:pPr>
        <w:keepNext/>
        <w:keepLines/>
        <w:spacing w:before="340" w:after="330" w:line="576" w:lineRule="auto"/>
        <w:outlineLvl w:val="0"/>
        <w:rPr>
          <w:rFonts w:ascii="Times New Roman" w:hAnsi="Times New Roman"/>
          <w:b/>
          <w:bCs/>
          <w:kern w:val="44"/>
          <w:sz w:val="44"/>
          <w:szCs w:val="44"/>
        </w:rPr>
      </w:pPr>
      <w:bookmarkStart w:id="9" w:name="_Toc6204"/>
      <w:r>
        <w:rPr>
          <w:rFonts w:hint="eastAsia" w:ascii="Times New Roman" w:hAnsi="Times New Roman"/>
          <w:b/>
          <w:bCs/>
          <w:kern w:val="44"/>
          <w:sz w:val="44"/>
          <w:szCs w:val="44"/>
        </w:rPr>
        <w:t>附录（可选）</w:t>
      </w:r>
      <w:bookmarkEnd w:id="9"/>
    </w:p>
    <w:p w14:paraId="1231D3AA">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可附上评分表、调查问卷等工具。</w:t>
      </w:r>
      <w:r>
        <w:rPr>
          <w:rFonts w:ascii="Times New Roman" w:hAnsi="Times New Roman"/>
          <w:b/>
          <w:bCs/>
          <w:i/>
          <w:iCs/>
          <w:sz w:val="24"/>
        </w:rPr>
        <w:t>]</w:t>
      </w:r>
    </w:p>
    <w:p w14:paraId="5123F401">
      <w:pPr>
        <w:spacing w:line="400" w:lineRule="exact"/>
        <w:rPr>
          <w:rFonts w:ascii="Times New Roman" w:hAnsi="Times New Roman"/>
          <w:i/>
          <w:iCs/>
          <w:sz w:val="24"/>
        </w:rPr>
      </w:pPr>
    </w:p>
    <w:p w14:paraId="41AB6377">
      <w:pPr>
        <w:spacing w:line="400" w:lineRule="exact"/>
        <w:rPr>
          <w:rFonts w:ascii="Times New Roman" w:hAnsi="Times New Roman"/>
          <w:i/>
          <w:iCs/>
          <w:sz w:val="24"/>
        </w:rPr>
      </w:pPr>
      <w:r>
        <w:rPr>
          <w:rFonts w:hint="eastAsia" w:ascii="Times New Roman" w:hAnsi="Times New Roman"/>
          <w:i/>
          <w:iCs/>
          <w:sz w:val="24"/>
        </w:rPr>
        <w:t>【例】</w:t>
      </w:r>
    </w:p>
    <w:p w14:paraId="23863F0D">
      <w:pPr>
        <w:spacing w:line="400" w:lineRule="exact"/>
        <w:rPr>
          <w:rFonts w:ascii="Times New Roman" w:hAnsi="Times New Roman"/>
        </w:rPr>
      </w:pPr>
      <w:r>
        <w:rPr>
          <w:rFonts w:hint="eastAsia" w:ascii="Times New Roman" w:hAnsi="Times New Roman"/>
        </w:rPr>
        <w:t>附录</w:t>
      </w:r>
      <w:r>
        <w:rPr>
          <w:rFonts w:ascii="Times New Roman" w:hAnsi="Times New Roman"/>
        </w:rPr>
        <w:t>A</w:t>
      </w:r>
      <w:r>
        <w:rPr>
          <w:rFonts w:hint="eastAsia" w:ascii="Times New Roman" w:hAnsi="Times New Roman"/>
        </w:rPr>
        <w:t>健康教育评价指标权重及评分细则</w:t>
      </w:r>
    </w:p>
    <w:p w14:paraId="6828B19D">
      <w:pPr>
        <w:spacing w:line="400" w:lineRule="exact"/>
        <w:jc w:val="center"/>
        <w:rPr>
          <w:rFonts w:ascii="Times New Roman" w:hAnsi="Times New Roman"/>
        </w:rPr>
      </w:pPr>
      <w:r>
        <w:rPr>
          <w:rFonts w:hint="eastAsia" w:ascii="Times New Roman" w:hAnsi="Times New Roman"/>
        </w:rPr>
        <w:t>表</w:t>
      </w:r>
      <w:r>
        <w:rPr>
          <w:rFonts w:ascii="Times New Roman" w:hAnsi="Times New Roman"/>
        </w:rPr>
        <w:t xml:space="preserve">A.1 </w:t>
      </w:r>
      <w:r>
        <w:rPr>
          <w:rFonts w:hint="eastAsia" w:ascii="Times New Roman" w:hAnsi="Times New Roman"/>
        </w:rPr>
        <w:t>健康教育评价指标权重分配表</w:t>
      </w:r>
    </w:p>
    <w:tbl>
      <w:tblPr>
        <w:tblStyle w:val="2"/>
        <w:tblW w:w="7560" w:type="dxa"/>
        <w:tblInd w:w="93" w:type="dxa"/>
        <w:tblLayout w:type="autofit"/>
        <w:tblCellMar>
          <w:top w:w="0" w:type="dxa"/>
          <w:left w:w="108" w:type="dxa"/>
          <w:bottom w:w="0" w:type="dxa"/>
          <w:right w:w="108" w:type="dxa"/>
        </w:tblCellMar>
      </w:tblPr>
      <w:tblGrid>
        <w:gridCol w:w="1324"/>
        <w:gridCol w:w="1200"/>
        <w:gridCol w:w="1408"/>
        <w:gridCol w:w="819"/>
        <w:gridCol w:w="1729"/>
        <w:gridCol w:w="1080"/>
      </w:tblGrid>
      <w:tr w14:paraId="4BF674BE">
        <w:tblPrEx>
          <w:tblCellMar>
            <w:top w:w="0" w:type="dxa"/>
            <w:left w:w="108" w:type="dxa"/>
            <w:bottom w:w="0" w:type="dxa"/>
            <w:right w:w="108" w:type="dxa"/>
          </w:tblCellMar>
        </w:tblPrEx>
        <w:trPr>
          <w:trHeight w:val="270" w:hRule="atLeast"/>
        </w:trPr>
        <w:tc>
          <w:tcPr>
            <w:tcW w:w="132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0C9EF">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8F84D4">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权重</w:t>
            </w:r>
          </w:p>
        </w:tc>
        <w:tc>
          <w:tcPr>
            <w:tcW w:w="14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18667">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二级指标</w:t>
            </w:r>
          </w:p>
        </w:tc>
        <w:tc>
          <w:tcPr>
            <w:tcW w:w="8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C85CC">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权重</w:t>
            </w: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0E98A1">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C0E806">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分值</w:t>
            </w:r>
          </w:p>
        </w:tc>
      </w:tr>
      <w:tr w14:paraId="7FD83379">
        <w:tblPrEx>
          <w:tblCellMar>
            <w:top w:w="0" w:type="dxa"/>
            <w:left w:w="108" w:type="dxa"/>
            <w:bottom w:w="0" w:type="dxa"/>
            <w:right w:w="108" w:type="dxa"/>
          </w:tblCellMar>
        </w:tblPrEx>
        <w:trPr>
          <w:trHeight w:val="300" w:hRule="atLeast"/>
        </w:trPr>
        <w:tc>
          <w:tcPr>
            <w:tcW w:w="132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B7590D">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组织管理与保障</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92506F">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15%</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7183F">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工作机制</w:t>
            </w: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976926">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6%</w:t>
            </w: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44F483">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组织领导</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4ED6F">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3</w:t>
            </w:r>
          </w:p>
        </w:tc>
      </w:tr>
      <w:tr w14:paraId="4E5F11F1">
        <w:tblPrEx>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BD761F">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B8CC1">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C0A02D">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9C544">
            <w:pPr>
              <w:widowControl/>
              <w:jc w:val="left"/>
              <w:rPr>
                <w:rFonts w:ascii="Times New Roman" w:hAnsi="Times New Roman"/>
                <w:color w:val="0F1115"/>
                <w:szCs w:val="21"/>
              </w:rPr>
            </w:pP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D2B00">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制度建设</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A6084E">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3</w:t>
            </w:r>
          </w:p>
        </w:tc>
      </w:tr>
      <w:tr w14:paraId="7816720D">
        <w:tblPrEx>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CE6916">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AEAA52">
            <w:pPr>
              <w:widowControl/>
              <w:jc w:val="left"/>
              <w:rPr>
                <w:rFonts w:ascii="Times New Roman" w:hAnsi="Times New Roman"/>
                <w:color w:val="0F1115"/>
                <w:szCs w:val="21"/>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4F7FE">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资源配置</w:t>
            </w:r>
          </w:p>
        </w:tc>
        <w:tc>
          <w:tcPr>
            <w:tcW w:w="8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170A2">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9%</w:t>
            </w: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F0064">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师资配备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D77960">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4</w:t>
            </w:r>
          </w:p>
        </w:tc>
      </w:tr>
      <w:tr w14:paraId="1B9E8113">
        <w:tblPrEx>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ECF7EF">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CB830">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C0F0BE">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C4FBB0">
            <w:pPr>
              <w:widowControl/>
              <w:jc w:val="left"/>
              <w:rPr>
                <w:rFonts w:ascii="Times New Roman" w:hAnsi="Times New Roman"/>
                <w:color w:val="0F1115"/>
                <w:szCs w:val="21"/>
              </w:rPr>
            </w:pP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EEEE9D">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经费投入</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6EBA4">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3</w:t>
            </w:r>
          </w:p>
        </w:tc>
      </w:tr>
      <w:tr w14:paraId="11C3B7A5">
        <w:tblPrEx>
          <w:tblCellMar>
            <w:top w:w="0" w:type="dxa"/>
            <w:left w:w="108" w:type="dxa"/>
            <w:bottom w:w="0" w:type="dxa"/>
            <w:right w:w="108" w:type="dxa"/>
          </w:tblCellMar>
        </w:tblPrEx>
        <w:trPr>
          <w:trHeight w:val="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479116">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5F14B3">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8ED8C4">
            <w:pPr>
              <w:widowControl/>
              <w:jc w:val="left"/>
              <w:rPr>
                <w:rFonts w:ascii="Times New Roman" w:hAnsi="Times New Roman"/>
                <w:color w:val="0F1115"/>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C9830B">
            <w:pPr>
              <w:widowControl/>
              <w:jc w:val="left"/>
              <w:rPr>
                <w:rFonts w:ascii="Times New Roman" w:hAnsi="Times New Roman"/>
                <w:color w:val="0F1115"/>
                <w:szCs w:val="21"/>
              </w:rPr>
            </w:pP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03337">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设施设备</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60B80C">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2</w:t>
            </w:r>
          </w:p>
        </w:tc>
      </w:tr>
      <w:tr w14:paraId="6ED21B03">
        <w:tblPrEx>
          <w:tblCellMar>
            <w:top w:w="0" w:type="dxa"/>
            <w:left w:w="108" w:type="dxa"/>
            <w:bottom w:w="0" w:type="dxa"/>
            <w:right w:w="108" w:type="dxa"/>
          </w:tblCellMar>
        </w:tblPrEx>
        <w:trPr>
          <w:trHeight w:val="300" w:hRule="atLeast"/>
        </w:trPr>
        <w:tc>
          <w:tcPr>
            <w:tcW w:w="1324" w:type="dxa"/>
            <w:tcBorders>
              <w:top w:val="nil"/>
              <w:left w:val="single" w:color="000000" w:sz="4" w:space="0"/>
              <w:bottom w:val="single" w:color="000000" w:sz="4" w:space="0"/>
              <w:right w:val="single" w:color="000000" w:sz="4" w:space="0"/>
            </w:tcBorders>
            <w:shd w:val="clear" w:color="auto" w:fill="FFFFFF"/>
            <w:noWrap w:val="0"/>
            <w:vAlign w:val="center"/>
          </w:tcPr>
          <w:p w14:paraId="1D52F41E">
            <w:pPr>
              <w:jc w:val="center"/>
              <w:rPr>
                <w:rFonts w:ascii="Times New Roman" w:hAnsi="Times New Roman"/>
                <w:color w:val="0F1115"/>
                <w:szCs w:val="21"/>
              </w:rPr>
            </w:pPr>
            <w:r>
              <w:rPr>
                <w:rFonts w:hint="eastAsia" w:ascii="Times New Roman" w:hAnsi="Times New Roman"/>
                <w:color w:val="0F1115"/>
                <w:szCs w:val="21"/>
              </w:rPr>
              <w:t>……</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4C2B1">
            <w:pPr>
              <w:jc w:val="center"/>
              <w:rPr>
                <w:rFonts w:ascii="Times New Roman" w:hAnsi="Times New Roman"/>
                <w:color w:val="0F1115"/>
                <w:szCs w:val="21"/>
              </w:rPr>
            </w:pPr>
            <w:r>
              <w:rPr>
                <w:rFonts w:hint="eastAsia" w:ascii="Times New Roman" w:hAnsi="Times New Roman"/>
                <w:color w:val="0F1115"/>
                <w:szCs w:val="21"/>
              </w:rPr>
              <w:t>……</w:t>
            </w:r>
          </w:p>
        </w:tc>
        <w:tc>
          <w:tcPr>
            <w:tcW w:w="14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642B5D">
            <w:pPr>
              <w:jc w:val="center"/>
              <w:rPr>
                <w:rFonts w:ascii="Times New Roman" w:hAnsi="Times New Roman"/>
                <w:color w:val="0F1115"/>
                <w:szCs w:val="21"/>
              </w:rPr>
            </w:pPr>
            <w:r>
              <w:rPr>
                <w:rFonts w:hint="eastAsia" w:ascii="Times New Roman" w:hAnsi="Times New Roman"/>
                <w:color w:val="0F1115"/>
                <w:szCs w:val="21"/>
              </w:rPr>
              <w:t>……</w:t>
            </w:r>
          </w:p>
        </w:tc>
        <w:tc>
          <w:tcPr>
            <w:tcW w:w="8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9CD61">
            <w:pPr>
              <w:jc w:val="center"/>
              <w:rPr>
                <w:rFonts w:ascii="Times New Roman" w:hAnsi="Times New Roman"/>
                <w:color w:val="0F1115"/>
                <w:szCs w:val="21"/>
              </w:rPr>
            </w:pPr>
            <w:r>
              <w:rPr>
                <w:rFonts w:hint="eastAsia" w:ascii="Times New Roman" w:hAnsi="Times New Roman"/>
                <w:color w:val="0F1115"/>
                <w:szCs w:val="21"/>
              </w:rPr>
              <w:t>……</w:t>
            </w: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74E9A">
            <w:pPr>
              <w:widowControl/>
              <w:jc w:val="center"/>
              <w:textAlignment w:val="center"/>
              <w:rPr>
                <w:rFonts w:ascii="Times New Roman" w:hAnsi="Times New Roman"/>
                <w:color w:val="0F1115"/>
                <w:kern w:val="0"/>
                <w:szCs w:val="21"/>
                <w:lang w:bidi="ar"/>
              </w:rPr>
            </w:pPr>
            <w:r>
              <w:rPr>
                <w:rFonts w:hint="eastAsia" w:ascii="Times New Roman" w:hAnsi="Times New Roman"/>
                <w:color w:val="0F1115"/>
                <w:kern w:val="0"/>
                <w:szCs w:val="21"/>
                <w:lang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51D9B">
            <w:pPr>
              <w:widowControl/>
              <w:jc w:val="center"/>
              <w:textAlignment w:val="center"/>
              <w:rPr>
                <w:rFonts w:ascii="Times New Roman" w:hAnsi="Times New Roman"/>
                <w:color w:val="0F1115"/>
                <w:kern w:val="0"/>
                <w:szCs w:val="21"/>
                <w:lang w:bidi="ar"/>
              </w:rPr>
            </w:pPr>
            <w:r>
              <w:rPr>
                <w:rFonts w:hint="eastAsia" w:ascii="Times New Roman" w:hAnsi="Times New Roman"/>
                <w:color w:val="0F1115"/>
                <w:kern w:val="0"/>
                <w:szCs w:val="21"/>
                <w:lang w:bidi="ar"/>
              </w:rPr>
              <w:t>……</w:t>
            </w:r>
          </w:p>
        </w:tc>
      </w:tr>
      <w:tr w14:paraId="150482FF">
        <w:tblPrEx>
          <w:tblCellMar>
            <w:top w:w="0" w:type="dxa"/>
            <w:left w:w="108" w:type="dxa"/>
            <w:bottom w:w="0" w:type="dxa"/>
            <w:right w:w="108" w:type="dxa"/>
          </w:tblCellMar>
        </w:tblPrEx>
        <w:trPr>
          <w:trHeight w:val="300" w:hRule="atLeast"/>
        </w:trPr>
        <w:tc>
          <w:tcPr>
            <w:tcW w:w="132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E1D5C1">
            <w:pPr>
              <w:widowControl/>
              <w:jc w:val="center"/>
              <w:textAlignment w:val="center"/>
              <w:rPr>
                <w:rFonts w:ascii="Times New Roman" w:hAnsi="Times New Roman"/>
                <w:color w:val="0F1115"/>
                <w:szCs w:val="21"/>
              </w:rPr>
            </w:pPr>
            <w:r>
              <w:rPr>
                <w:rFonts w:hint="eastAsia" w:ascii="Times New Roman" w:hAnsi="Times New Roman"/>
                <w:color w:val="0F1115"/>
                <w:kern w:val="0"/>
                <w:szCs w:val="21"/>
                <w:lang w:bidi="ar"/>
              </w:rPr>
              <w:t>合计</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C9D62">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100%</w:t>
            </w:r>
          </w:p>
        </w:tc>
        <w:tc>
          <w:tcPr>
            <w:tcW w:w="14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B02B3">
            <w:pPr>
              <w:jc w:val="center"/>
              <w:rPr>
                <w:rFonts w:ascii="Times New Roman" w:hAnsi="Times New Roman"/>
                <w:color w:val="0F1115"/>
                <w:szCs w:val="21"/>
              </w:rPr>
            </w:pPr>
          </w:p>
        </w:tc>
        <w:tc>
          <w:tcPr>
            <w:tcW w:w="8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9F741C">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100%</w:t>
            </w:r>
          </w:p>
        </w:tc>
        <w:tc>
          <w:tcPr>
            <w:tcW w:w="172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0DC3C">
            <w:pPr>
              <w:jc w:val="center"/>
              <w:rPr>
                <w:rFonts w:ascii="Times New Roman" w:hAnsi="Times New Roman"/>
                <w:color w:val="0F1115"/>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8E0A8">
            <w:pPr>
              <w:widowControl/>
              <w:jc w:val="center"/>
              <w:textAlignment w:val="center"/>
              <w:rPr>
                <w:rFonts w:ascii="Times New Roman" w:hAnsi="Times New Roman"/>
                <w:color w:val="0F1115"/>
                <w:szCs w:val="21"/>
              </w:rPr>
            </w:pPr>
            <w:r>
              <w:rPr>
                <w:rFonts w:ascii="Times New Roman" w:hAnsi="Times New Roman"/>
                <w:color w:val="0F1115"/>
                <w:kern w:val="0"/>
                <w:szCs w:val="21"/>
                <w:lang w:bidi="ar"/>
              </w:rPr>
              <w:t>100</w:t>
            </w:r>
          </w:p>
        </w:tc>
      </w:tr>
    </w:tbl>
    <w:p w14:paraId="7F23A733">
      <w:pPr>
        <w:spacing w:line="400" w:lineRule="exact"/>
        <w:rPr>
          <w:rFonts w:ascii="Times New Roman" w:hAnsi="Times New Roman"/>
        </w:rPr>
      </w:pPr>
      <w:r>
        <w:rPr>
          <w:rFonts w:hint="eastAsia" w:ascii="Times New Roman" w:hAnsi="Times New Roman"/>
        </w:rPr>
        <w:t>评分说明：</w:t>
      </w:r>
    </w:p>
    <w:p w14:paraId="23574562">
      <w:pPr>
        <w:spacing w:line="400" w:lineRule="exact"/>
        <w:rPr>
          <w:rFonts w:ascii="Times New Roman" w:hAnsi="Times New Roman"/>
        </w:rPr>
      </w:pPr>
      <w:r>
        <w:rPr>
          <w:rFonts w:hint="eastAsia" w:ascii="Times New Roman" w:hAnsi="Times New Roman"/>
        </w:rPr>
        <w:t>每个三级指标根据达成度分为</w:t>
      </w:r>
      <w:r>
        <w:rPr>
          <w:rFonts w:ascii="Times New Roman" w:hAnsi="Times New Roman"/>
        </w:rPr>
        <w:t>A</w:t>
      </w:r>
      <w:r>
        <w:rPr>
          <w:rFonts w:hint="eastAsia" w:ascii="Times New Roman" w:hAnsi="Times New Roman"/>
        </w:rPr>
        <w:t>（</w:t>
      </w:r>
      <w:r>
        <w:rPr>
          <w:rFonts w:ascii="Times New Roman" w:hAnsi="Times New Roman"/>
        </w:rPr>
        <w:t>100%</w:t>
      </w:r>
      <w:r>
        <w:rPr>
          <w:rFonts w:hint="eastAsia" w:ascii="Times New Roman" w:hAnsi="Times New Roman"/>
        </w:rPr>
        <w:t>）、</w:t>
      </w:r>
      <w:r>
        <w:rPr>
          <w:rFonts w:ascii="Times New Roman" w:hAnsi="Times New Roman"/>
        </w:rPr>
        <w:t>B</w:t>
      </w:r>
      <w:r>
        <w:rPr>
          <w:rFonts w:hint="eastAsia" w:ascii="Times New Roman" w:hAnsi="Times New Roman"/>
        </w:rPr>
        <w:t>（</w:t>
      </w:r>
      <w:r>
        <w:rPr>
          <w:rFonts w:ascii="Times New Roman" w:hAnsi="Times New Roman"/>
        </w:rPr>
        <w:t>80%</w:t>
      </w:r>
      <w:r>
        <w:rPr>
          <w:rFonts w:hint="eastAsia" w:ascii="Times New Roman" w:hAnsi="Times New Roman"/>
        </w:rPr>
        <w:t>）、</w:t>
      </w:r>
      <w:r>
        <w:rPr>
          <w:rFonts w:ascii="Times New Roman" w:hAnsi="Times New Roman"/>
        </w:rPr>
        <w:t>C</w:t>
      </w:r>
      <w:r>
        <w:rPr>
          <w:rFonts w:hint="eastAsia" w:ascii="Times New Roman" w:hAnsi="Times New Roman"/>
        </w:rPr>
        <w:t>（</w:t>
      </w:r>
      <w:r>
        <w:rPr>
          <w:rFonts w:ascii="Times New Roman" w:hAnsi="Times New Roman"/>
        </w:rPr>
        <w:t>60%</w:t>
      </w:r>
      <w:r>
        <w:rPr>
          <w:rFonts w:hint="eastAsia" w:ascii="Times New Roman" w:hAnsi="Times New Roman"/>
        </w:rPr>
        <w:t>）、</w:t>
      </w:r>
      <w:r>
        <w:rPr>
          <w:rFonts w:ascii="Times New Roman" w:hAnsi="Times New Roman"/>
        </w:rPr>
        <w:t>D</w:t>
      </w:r>
      <w:r>
        <w:rPr>
          <w:rFonts w:hint="eastAsia" w:ascii="Times New Roman" w:hAnsi="Times New Roman"/>
        </w:rPr>
        <w:t>（</w:t>
      </w:r>
      <w:r>
        <w:rPr>
          <w:rFonts w:ascii="Times New Roman" w:hAnsi="Times New Roman"/>
        </w:rPr>
        <w:t>40%</w:t>
      </w:r>
      <w:r>
        <w:rPr>
          <w:rFonts w:hint="eastAsia" w:ascii="Times New Roman" w:hAnsi="Times New Roman"/>
        </w:rPr>
        <w:t>）、</w:t>
      </w:r>
      <w:r>
        <w:rPr>
          <w:rFonts w:ascii="Times New Roman" w:hAnsi="Times New Roman"/>
        </w:rPr>
        <w:t>E</w:t>
      </w:r>
      <w:r>
        <w:rPr>
          <w:rFonts w:hint="eastAsia" w:ascii="Times New Roman" w:hAnsi="Times New Roman"/>
        </w:rPr>
        <w:t>（</w:t>
      </w:r>
      <w:r>
        <w:rPr>
          <w:rFonts w:ascii="Times New Roman" w:hAnsi="Times New Roman"/>
        </w:rPr>
        <w:t>20%</w:t>
      </w:r>
      <w:r>
        <w:rPr>
          <w:rFonts w:hint="eastAsia" w:ascii="Times New Roman" w:hAnsi="Times New Roman"/>
        </w:rPr>
        <w:t>）五档赋分。</w:t>
      </w:r>
    </w:p>
    <w:p w14:paraId="498A5639">
      <w:pPr>
        <w:spacing w:line="400" w:lineRule="exact"/>
        <w:rPr>
          <w:rFonts w:ascii="Times New Roman" w:hAnsi="Times New Roman"/>
        </w:rPr>
      </w:pPr>
      <w:r>
        <w:rPr>
          <w:rFonts w:hint="eastAsia" w:ascii="Times New Roman" w:hAnsi="Times New Roman"/>
        </w:rPr>
        <w:t>有重大安全事故、传染病暴发、食品安全事件的学校，实行</w:t>
      </w:r>
      <w:r>
        <w:rPr>
          <w:rFonts w:ascii="Times New Roman" w:hAnsi="Times New Roman"/>
        </w:rPr>
        <w:t>“</w:t>
      </w:r>
      <w:r>
        <w:rPr>
          <w:rFonts w:hint="eastAsia" w:ascii="Times New Roman" w:hAnsi="Times New Roman"/>
        </w:rPr>
        <w:t>一票否决</w:t>
      </w:r>
      <w:r>
        <w:rPr>
          <w:rFonts w:ascii="Times New Roman" w:hAnsi="Times New Roman"/>
        </w:rPr>
        <w:t>”</w:t>
      </w:r>
      <w:r>
        <w:rPr>
          <w:rFonts w:hint="eastAsia" w:ascii="Times New Roman" w:hAnsi="Times New Roman"/>
        </w:rPr>
        <w:t>，当年评价不得评为良好及以上等级。</w:t>
      </w:r>
    </w:p>
    <w:p w14:paraId="5383B649">
      <w:pPr>
        <w:spacing w:line="400" w:lineRule="exact"/>
        <w:rPr>
          <w:rFonts w:ascii="Times New Roman" w:hAnsi="Times New Roman"/>
          <w:i/>
          <w:iCs/>
          <w:sz w:val="24"/>
        </w:rPr>
      </w:pPr>
    </w:p>
    <w:p w14:paraId="10E462DC">
      <w:pPr>
        <w:rPr>
          <w:rFonts w:ascii="Times New Roman" w:hAnsi="Times New Roman"/>
        </w:rPr>
      </w:pPr>
      <w:r>
        <w:rPr>
          <w:rFonts w:hint="eastAsia" w:ascii="Times New Roman" w:hAnsi="Times New Roman"/>
          <w:color w:val="000000"/>
          <w:sz w:val="24"/>
        </w:rPr>
        <w:t>附录</w:t>
      </w:r>
      <w:r>
        <w:rPr>
          <w:rFonts w:ascii="Times New Roman" w:hAnsi="Times New Roman"/>
          <w:color w:val="000000"/>
          <w:sz w:val="24"/>
        </w:rPr>
        <w:t xml:space="preserve">B  </w:t>
      </w:r>
      <w:r>
        <w:rPr>
          <w:rFonts w:hint="eastAsia" w:ascii="Times New Roman" w:hAnsi="Times New Roman"/>
        </w:rPr>
        <w:t>健康教育评价工具示例</w:t>
      </w:r>
    </w:p>
    <w:p w14:paraId="6803CA5F">
      <w:pPr>
        <w:spacing w:line="400" w:lineRule="exact"/>
        <w:rPr>
          <w:rFonts w:ascii="Times New Roman" w:hAnsi="Times New Roman"/>
        </w:rPr>
      </w:pPr>
      <w:r>
        <w:rPr>
          <w:rFonts w:ascii="Times New Roman" w:hAnsi="Times New Roman"/>
        </w:rPr>
        <w:t xml:space="preserve">B.1 </w:t>
      </w:r>
      <w:r>
        <w:rPr>
          <w:rFonts w:hint="eastAsia" w:ascii="Times New Roman" w:hAnsi="Times New Roman"/>
        </w:rPr>
        <w:t>中小学生健康知识测试问卷（样题）</w:t>
      </w:r>
    </w:p>
    <w:p w14:paraId="18AD5C00">
      <w:pPr>
        <w:spacing w:line="400" w:lineRule="exact"/>
        <w:rPr>
          <w:rFonts w:ascii="Times New Roman" w:hAnsi="Times New Roman"/>
        </w:rPr>
      </w:pPr>
      <w:r>
        <w:rPr>
          <w:rFonts w:hint="eastAsia" w:ascii="Times New Roman" w:hAnsi="Times New Roman"/>
        </w:rPr>
        <w:t>小学生版（水平一</w:t>
      </w:r>
      <w:r>
        <w:rPr>
          <w:rFonts w:ascii="Times New Roman" w:hAnsi="Times New Roman"/>
        </w:rPr>
        <w:t>/</w:t>
      </w:r>
      <w:r>
        <w:rPr>
          <w:rFonts w:hint="eastAsia" w:ascii="Times New Roman" w:hAnsi="Times New Roman"/>
        </w:rPr>
        <w:t>二年级）示例：</w:t>
      </w:r>
    </w:p>
    <w:p w14:paraId="15E9F36B">
      <w:pPr>
        <w:spacing w:line="400" w:lineRule="exact"/>
        <w:rPr>
          <w:rFonts w:ascii="Times New Roman" w:hAnsi="Times New Roman"/>
        </w:rPr>
      </w:pPr>
      <w:r>
        <w:rPr>
          <w:rFonts w:hint="eastAsia" w:ascii="Times New Roman" w:hAnsi="Times New Roman"/>
        </w:rPr>
        <w:t>附饭前便后应该怎么做？（</w:t>
      </w:r>
      <w:r>
        <w:rPr>
          <w:rFonts w:ascii="Times New Roman" w:hAnsi="Times New Roman"/>
        </w:rPr>
        <w:t xml:space="preserve"> </w:t>
      </w:r>
      <w:r>
        <w:rPr>
          <w:rFonts w:hint="eastAsia" w:ascii="Times New Roman" w:hAnsi="Times New Roman"/>
        </w:rPr>
        <w:t>）</w:t>
      </w:r>
    </w:p>
    <w:p w14:paraId="48FDBEEB">
      <w:pPr>
        <w:spacing w:line="400" w:lineRule="exact"/>
        <w:rPr>
          <w:rFonts w:ascii="Times New Roman" w:hAnsi="Times New Roman"/>
        </w:rPr>
      </w:pPr>
      <w:r>
        <w:rPr>
          <w:rFonts w:ascii="Times New Roman" w:hAnsi="Times New Roman"/>
        </w:rPr>
        <w:t xml:space="preserve">A. </w:t>
      </w:r>
      <w:r>
        <w:rPr>
          <w:rFonts w:hint="eastAsia" w:ascii="Times New Roman" w:hAnsi="Times New Roman"/>
        </w:rPr>
        <w:t>直接吃饭</w:t>
      </w:r>
      <w:r>
        <w:rPr>
          <w:rFonts w:ascii="Times New Roman" w:hAnsi="Times New Roman"/>
        </w:rPr>
        <w:t xml:space="preserve"> B. </w:t>
      </w:r>
      <w:r>
        <w:rPr>
          <w:rFonts w:hint="eastAsia" w:ascii="Times New Roman" w:hAnsi="Times New Roman"/>
        </w:rPr>
        <w:t>洗手</w:t>
      </w:r>
      <w:r>
        <w:rPr>
          <w:rFonts w:ascii="Times New Roman" w:hAnsi="Times New Roman"/>
        </w:rPr>
        <w:t xml:space="preserve"> C. </w:t>
      </w:r>
      <w:r>
        <w:rPr>
          <w:rFonts w:hint="eastAsia" w:ascii="Times New Roman" w:hAnsi="Times New Roman"/>
        </w:rPr>
        <w:t>不用管</w:t>
      </w:r>
      <w:r>
        <w:rPr>
          <w:rFonts w:ascii="Times New Roman" w:hAnsi="Times New Roman"/>
        </w:rPr>
        <w:t xml:space="preserve"> D. </w:t>
      </w:r>
      <w:r>
        <w:rPr>
          <w:rFonts w:hint="eastAsia" w:ascii="Times New Roman" w:hAnsi="Times New Roman"/>
        </w:rPr>
        <w:t>不知道</w:t>
      </w:r>
    </w:p>
    <w:p w14:paraId="0481E33E">
      <w:pPr>
        <w:spacing w:line="400" w:lineRule="exact"/>
        <w:rPr>
          <w:rFonts w:ascii="Times New Roman" w:hAnsi="Times New Roman"/>
        </w:rPr>
      </w:pPr>
      <w:r>
        <w:rPr>
          <w:rFonts w:hint="eastAsia" w:ascii="Times New Roman" w:hAnsi="Times New Roman"/>
        </w:rPr>
        <w:t>下列哪种行为对眼睛有好处？（</w:t>
      </w:r>
      <w:r>
        <w:rPr>
          <w:rFonts w:ascii="Times New Roman" w:hAnsi="Times New Roman"/>
        </w:rPr>
        <w:t xml:space="preserve"> </w:t>
      </w:r>
      <w:r>
        <w:rPr>
          <w:rFonts w:hint="eastAsia" w:ascii="Times New Roman" w:hAnsi="Times New Roman"/>
        </w:rPr>
        <w:t>）</w:t>
      </w:r>
    </w:p>
    <w:p w14:paraId="58170B77">
      <w:pPr>
        <w:spacing w:line="400" w:lineRule="exact"/>
        <w:rPr>
          <w:rFonts w:ascii="Times New Roman" w:hAnsi="Times New Roman"/>
        </w:rPr>
      </w:pPr>
      <w:r>
        <w:rPr>
          <w:rFonts w:ascii="Times New Roman" w:hAnsi="Times New Roman"/>
        </w:rPr>
        <w:t xml:space="preserve">A. </w:t>
      </w:r>
      <w:r>
        <w:rPr>
          <w:rFonts w:hint="eastAsia" w:ascii="Times New Roman" w:hAnsi="Times New Roman"/>
        </w:rPr>
        <w:t>趴着看书</w:t>
      </w:r>
      <w:r>
        <w:rPr>
          <w:rFonts w:ascii="Times New Roman" w:hAnsi="Times New Roman"/>
        </w:rPr>
        <w:t xml:space="preserve"> B. </w:t>
      </w:r>
      <w:r>
        <w:rPr>
          <w:rFonts w:hint="eastAsia" w:ascii="Times New Roman" w:hAnsi="Times New Roman"/>
        </w:rPr>
        <w:t>在昏暗光线下写字</w:t>
      </w:r>
      <w:r>
        <w:rPr>
          <w:rFonts w:ascii="Times New Roman" w:hAnsi="Times New Roman"/>
        </w:rPr>
        <w:t xml:space="preserve"> C. </w:t>
      </w:r>
      <w:r>
        <w:rPr>
          <w:rFonts w:hint="eastAsia" w:ascii="Times New Roman" w:hAnsi="Times New Roman"/>
        </w:rPr>
        <w:t>做眼保健操</w:t>
      </w:r>
      <w:r>
        <w:rPr>
          <w:rFonts w:ascii="Times New Roman" w:hAnsi="Times New Roman"/>
        </w:rPr>
        <w:t xml:space="preserve"> D. </w:t>
      </w:r>
      <w:r>
        <w:rPr>
          <w:rFonts w:hint="eastAsia" w:ascii="Times New Roman" w:hAnsi="Times New Roman"/>
        </w:rPr>
        <w:t>长时间看电视</w:t>
      </w:r>
    </w:p>
    <w:p w14:paraId="56254DE1">
      <w:pPr>
        <w:spacing w:line="400" w:lineRule="exact"/>
        <w:rPr>
          <w:rFonts w:ascii="Times New Roman" w:hAnsi="Times New Roman"/>
        </w:rPr>
      </w:pPr>
      <w:r>
        <w:rPr>
          <w:rFonts w:hint="eastAsia" w:ascii="Times New Roman" w:hAnsi="Times New Roman"/>
        </w:rPr>
        <w:t>……</w:t>
      </w:r>
    </w:p>
    <w:p w14:paraId="1302FF61">
      <w:pPr>
        <w:keepNext/>
        <w:keepLines/>
        <w:spacing w:before="340" w:after="330" w:line="576" w:lineRule="auto"/>
        <w:jc w:val="center"/>
        <w:outlineLvl w:val="0"/>
        <w:rPr>
          <w:rFonts w:ascii="Times New Roman" w:hAnsi="Times New Roman"/>
          <w:b/>
          <w:bCs/>
          <w:kern w:val="44"/>
          <w:sz w:val="44"/>
          <w:szCs w:val="44"/>
        </w:rPr>
      </w:pPr>
      <w:bookmarkStart w:id="10" w:name="_Toc30556"/>
      <w:r>
        <w:rPr>
          <w:rFonts w:hint="eastAsia" w:ascii="Times New Roman" w:hAnsi="Times New Roman"/>
          <w:b/>
          <w:bCs/>
          <w:kern w:val="44"/>
          <w:sz w:val="44"/>
          <w:szCs w:val="44"/>
        </w:rPr>
        <w:t>参考文献</w:t>
      </w:r>
      <w:bookmarkEnd w:id="10"/>
    </w:p>
    <w:p w14:paraId="0380B310">
      <w:pPr>
        <w:spacing w:line="400" w:lineRule="exact"/>
        <w:rPr>
          <w:rFonts w:ascii="Times New Roman" w:hAnsi="Times New Roman"/>
          <w:b/>
          <w:bCs/>
          <w:i/>
          <w:iCs/>
          <w:sz w:val="24"/>
        </w:rPr>
      </w:pPr>
      <w:r>
        <w:rPr>
          <w:rFonts w:ascii="Times New Roman" w:hAnsi="Times New Roman"/>
          <w:b/>
          <w:bCs/>
          <w:i/>
          <w:iCs/>
          <w:sz w:val="24"/>
        </w:rPr>
        <w:t>[</w:t>
      </w:r>
      <w:r>
        <w:rPr>
          <w:rFonts w:hint="eastAsia" w:ascii="Times New Roman" w:hAnsi="Times New Roman"/>
          <w:b/>
          <w:bCs/>
          <w:i/>
          <w:iCs/>
          <w:sz w:val="24"/>
        </w:rPr>
        <w:t>该部分列出标准编制过程中参考的政策文件、学术文献、专著等，供使用者进一步查阅。参考文献标准遵循</w:t>
      </w:r>
      <w:r>
        <w:rPr>
          <w:rFonts w:ascii="Times New Roman" w:hAnsi="Times New Roman"/>
          <w:b/>
          <w:bCs/>
          <w:i/>
          <w:iCs/>
          <w:sz w:val="24"/>
        </w:rPr>
        <w:t>GB/T 7714-2015</w:t>
      </w:r>
      <w:r>
        <w:rPr>
          <w:rFonts w:hint="eastAsia" w:ascii="Times New Roman" w:hAnsi="Times New Roman"/>
          <w:b/>
          <w:bCs/>
          <w:i/>
          <w:iCs/>
          <w:sz w:val="24"/>
        </w:rPr>
        <w:t>标准。</w:t>
      </w:r>
      <w:r>
        <w:rPr>
          <w:rFonts w:ascii="Times New Roman" w:hAnsi="Times New Roman"/>
          <w:b/>
          <w:bCs/>
          <w:i/>
          <w:iCs/>
          <w:sz w:val="24"/>
        </w:rPr>
        <w:t>]</w:t>
      </w:r>
      <w:r>
        <w:rPr>
          <w:rFonts w:hint="eastAsia" w:ascii="Times New Roman" w:hAnsi="Times New Roman"/>
          <w:b/>
          <w:bCs/>
          <w:i/>
          <w:iCs/>
          <w:sz w:val="24"/>
        </w:rPr>
        <w:t>（文本格式：五号，宋体，行距</w:t>
      </w:r>
      <w:r>
        <w:rPr>
          <w:rFonts w:ascii="Times New Roman" w:hAnsi="Times New Roman"/>
          <w:b/>
          <w:bCs/>
          <w:i/>
          <w:iCs/>
          <w:sz w:val="24"/>
        </w:rPr>
        <w:t>20</w:t>
      </w:r>
      <w:r>
        <w:rPr>
          <w:rFonts w:hint="eastAsia" w:ascii="Times New Roman" w:hAnsi="Times New Roman"/>
          <w:b/>
          <w:bCs/>
          <w:i/>
          <w:iCs/>
          <w:sz w:val="24"/>
        </w:rPr>
        <w:t>，数字和英文用</w:t>
      </w:r>
      <w:r>
        <w:rPr>
          <w:rFonts w:ascii="Times New Roman" w:hAnsi="Times New Roman"/>
          <w:b/>
          <w:bCs/>
          <w:i/>
          <w:iCs/>
          <w:sz w:val="24"/>
        </w:rPr>
        <w:t>Times New Roman</w:t>
      </w:r>
      <w:r>
        <w:rPr>
          <w:rFonts w:hint="eastAsia" w:ascii="Times New Roman" w:hAnsi="Times New Roman"/>
          <w:b/>
          <w:bCs/>
          <w:i/>
          <w:iCs/>
          <w:sz w:val="24"/>
        </w:rPr>
        <w:t>字体，下同）</w:t>
      </w:r>
    </w:p>
    <w:p w14:paraId="0D4829FD">
      <w:pPr>
        <w:spacing w:line="400" w:lineRule="exact"/>
        <w:rPr>
          <w:rFonts w:ascii="Times New Roman" w:hAnsi="Times New Roman"/>
          <w:i/>
          <w:iCs/>
          <w:sz w:val="24"/>
        </w:rPr>
      </w:pPr>
    </w:p>
    <w:p w14:paraId="45856151">
      <w:pPr>
        <w:spacing w:line="400" w:lineRule="exact"/>
        <w:rPr>
          <w:rFonts w:ascii="Times New Roman" w:hAnsi="Times New Roman"/>
          <w:i/>
          <w:iCs/>
          <w:sz w:val="24"/>
        </w:rPr>
      </w:pPr>
      <w:r>
        <w:rPr>
          <w:rFonts w:hint="eastAsia" w:ascii="Times New Roman" w:hAnsi="Times New Roman"/>
          <w:i/>
          <w:iCs/>
          <w:sz w:val="24"/>
        </w:rPr>
        <w:t>【例】</w:t>
      </w:r>
    </w:p>
    <w:p w14:paraId="74D70398">
      <w:pPr>
        <w:spacing w:line="400" w:lineRule="exact"/>
        <w:rPr>
          <w:rFonts w:ascii="Times New Roman" w:hAnsi="Times New Roman"/>
        </w:rPr>
      </w:pPr>
      <w:r>
        <w:rPr>
          <w:rFonts w:ascii="Times New Roman" w:hAnsi="Times New Roman"/>
        </w:rPr>
        <w:t xml:space="preserve">[1] GB/T 18206-2011 </w:t>
      </w:r>
      <w:r>
        <w:rPr>
          <w:rFonts w:hint="eastAsia" w:ascii="Times New Roman" w:hAnsi="Times New Roman"/>
        </w:rPr>
        <w:t>中小学健康教育规范</w:t>
      </w:r>
    </w:p>
    <w:p w14:paraId="6ADFEE97">
      <w:pPr>
        <w:spacing w:line="400" w:lineRule="exact"/>
        <w:rPr>
          <w:rFonts w:ascii="Times New Roman" w:hAnsi="Times New Roman"/>
        </w:rPr>
      </w:pPr>
      <w:r>
        <w:rPr>
          <w:rFonts w:ascii="Times New Roman" w:hAnsi="Times New Roman"/>
        </w:rPr>
        <w:t xml:space="preserve">[2] </w:t>
      </w:r>
      <w:r>
        <w:rPr>
          <w:rFonts w:hint="eastAsia" w:ascii="Times New Roman" w:hAnsi="Times New Roman"/>
        </w:rPr>
        <w:t>教育部等</w:t>
      </w:r>
      <w:r>
        <w:rPr>
          <w:rFonts w:ascii="Times New Roman" w:hAnsi="Times New Roman"/>
        </w:rPr>
        <w:t xml:space="preserve">. </w:t>
      </w:r>
      <w:r>
        <w:rPr>
          <w:rFonts w:hint="eastAsia" w:ascii="Times New Roman" w:hAnsi="Times New Roman"/>
        </w:rPr>
        <w:t>关于全面推进健康学校建设的指导意见</w:t>
      </w:r>
      <w:r>
        <w:rPr>
          <w:rFonts w:ascii="Times New Roman" w:hAnsi="Times New Roman"/>
        </w:rPr>
        <w:t>. 2026</w:t>
      </w:r>
      <w:r>
        <w:rPr>
          <w:rFonts w:hint="eastAsia" w:ascii="Times New Roman" w:hAnsi="Times New Roman"/>
        </w:rPr>
        <w:t>年</w:t>
      </w:r>
    </w:p>
    <w:p w14:paraId="2F545026">
      <w:pPr>
        <w:spacing w:line="400" w:lineRule="exact"/>
        <w:rPr>
          <w:rFonts w:ascii="Times New Roman" w:hAnsi="Times New Roman"/>
        </w:rPr>
      </w:pPr>
      <w:r>
        <w:rPr>
          <w:rFonts w:hint="eastAsia" w:ascii="Times New Roman" w:hAnsi="Times New Roman"/>
        </w:rPr>
        <w:t>……</w:t>
      </w:r>
    </w:p>
    <w:p w14:paraId="3F4A0841">
      <w:pPr>
        <w:spacing w:line="400" w:lineRule="exact"/>
        <w:rPr>
          <w:rFonts w:ascii="Times New Roman" w:hAnsi="Times New Roman"/>
        </w:rPr>
      </w:pPr>
    </w:p>
    <w:p w14:paraId="671896AA">
      <w:pPr>
        <w:spacing w:line="400" w:lineRule="exact"/>
        <w:rPr>
          <w:rFonts w:ascii="Times New Roman" w:hAnsi="Times New Roman"/>
        </w:rPr>
      </w:pPr>
    </w:p>
    <w:p w14:paraId="4B735151">
      <w:pPr>
        <w:spacing w:line="400" w:lineRule="exact"/>
        <w:rPr>
          <w:rFonts w:ascii="Times New Roman" w:hAnsi="Times New Roman"/>
        </w:rPr>
      </w:pPr>
    </w:p>
    <w:p w14:paraId="0EC05FC6">
      <w:pPr>
        <w:spacing w:line="400" w:lineRule="exact"/>
        <w:rPr>
          <w:rFonts w:hint="eastAsia" w:eastAsiaTheme="minorEastAsia"/>
          <w:lang w:eastAsia="zh-CN"/>
        </w:rPr>
      </w:pPr>
      <w:r>
        <w:rPr>
          <w:rFonts w:hint="eastAsia" w:ascii="Times New Roman" w:hAnsi="Times New Roman"/>
          <w:em w:val="dot"/>
        </w:rPr>
        <w:t>特别提示：</w:t>
      </w:r>
      <w:r>
        <w:rPr>
          <w:rFonts w:ascii="Times New Roman" w:hAnsi="Times New Roman"/>
          <w:em w:val="dot"/>
        </w:rPr>
        <w:t>1.</w:t>
      </w:r>
      <w:r>
        <w:rPr>
          <w:rFonts w:hint="eastAsia" w:ascii="Times New Roman" w:hAnsi="Times New Roman"/>
          <w:em w:val="dot"/>
        </w:rPr>
        <w:t>“……”仅用于本示例，在正式提交时，所有内容均应完整呈现。</w:t>
      </w:r>
      <w:r>
        <w:rPr>
          <w:rFonts w:ascii="Times New Roman" w:hAnsi="Times New Roman"/>
          <w:em w:val="dot"/>
        </w:rPr>
        <w:t>2.</w:t>
      </w:r>
      <w:r>
        <w:rPr>
          <w:rFonts w:hint="eastAsia" w:ascii="Times New Roman" w:hAnsi="Times New Roman"/>
          <w:em w:val="dot"/>
        </w:rPr>
        <w:t>示例内容仅作为写作参考，不作为规范性执行依据。</w:t>
      </w:r>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_GBK">
    <w:altName w:val="宋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F67F5"/>
    <w:rsid w:val="0026713A"/>
    <w:rsid w:val="005D2B91"/>
    <w:rsid w:val="008D2135"/>
    <w:rsid w:val="00A653A7"/>
    <w:rsid w:val="00D83F92"/>
    <w:rsid w:val="00DA289F"/>
    <w:rsid w:val="00E75937"/>
    <w:rsid w:val="00FC4AC6"/>
    <w:rsid w:val="01056424"/>
    <w:rsid w:val="01276AFA"/>
    <w:rsid w:val="0129671D"/>
    <w:rsid w:val="01483005"/>
    <w:rsid w:val="017007A2"/>
    <w:rsid w:val="01E8786E"/>
    <w:rsid w:val="020E39C7"/>
    <w:rsid w:val="02490EF2"/>
    <w:rsid w:val="02493047"/>
    <w:rsid w:val="0294280A"/>
    <w:rsid w:val="02C74342"/>
    <w:rsid w:val="02D52B1F"/>
    <w:rsid w:val="0310148C"/>
    <w:rsid w:val="0315067B"/>
    <w:rsid w:val="034F15DC"/>
    <w:rsid w:val="03593470"/>
    <w:rsid w:val="03644654"/>
    <w:rsid w:val="03890325"/>
    <w:rsid w:val="03C15348"/>
    <w:rsid w:val="03C64861"/>
    <w:rsid w:val="03EB421C"/>
    <w:rsid w:val="043F04B9"/>
    <w:rsid w:val="047D1BAB"/>
    <w:rsid w:val="049560D8"/>
    <w:rsid w:val="049A1FF6"/>
    <w:rsid w:val="04FA5AA9"/>
    <w:rsid w:val="05086144"/>
    <w:rsid w:val="050C6789"/>
    <w:rsid w:val="05102550"/>
    <w:rsid w:val="055661F6"/>
    <w:rsid w:val="05A5225C"/>
    <w:rsid w:val="05BC3A6A"/>
    <w:rsid w:val="05BE33DF"/>
    <w:rsid w:val="05DE4C7A"/>
    <w:rsid w:val="05E14A5F"/>
    <w:rsid w:val="05F3781A"/>
    <w:rsid w:val="05FE68C3"/>
    <w:rsid w:val="064B2FAE"/>
    <w:rsid w:val="06722391"/>
    <w:rsid w:val="06C141ED"/>
    <w:rsid w:val="06CE4787"/>
    <w:rsid w:val="071A4FA4"/>
    <w:rsid w:val="07403A68"/>
    <w:rsid w:val="076D0B7F"/>
    <w:rsid w:val="077165FA"/>
    <w:rsid w:val="0790166A"/>
    <w:rsid w:val="079D3EA5"/>
    <w:rsid w:val="07CD2DE4"/>
    <w:rsid w:val="07CD4FF0"/>
    <w:rsid w:val="07CF1EBD"/>
    <w:rsid w:val="081246C2"/>
    <w:rsid w:val="082618BF"/>
    <w:rsid w:val="0849294E"/>
    <w:rsid w:val="08611E26"/>
    <w:rsid w:val="088B0C8A"/>
    <w:rsid w:val="08BF62EA"/>
    <w:rsid w:val="08CD4B65"/>
    <w:rsid w:val="090079D6"/>
    <w:rsid w:val="091C1A57"/>
    <w:rsid w:val="09646941"/>
    <w:rsid w:val="096E173A"/>
    <w:rsid w:val="09AE70DD"/>
    <w:rsid w:val="09D702D0"/>
    <w:rsid w:val="09E86937"/>
    <w:rsid w:val="09F36B18"/>
    <w:rsid w:val="0A205771"/>
    <w:rsid w:val="0A980DEE"/>
    <w:rsid w:val="0AAD6334"/>
    <w:rsid w:val="0AC47064"/>
    <w:rsid w:val="0AC83E63"/>
    <w:rsid w:val="0AE16627"/>
    <w:rsid w:val="0B236096"/>
    <w:rsid w:val="0B4A5891"/>
    <w:rsid w:val="0B690C92"/>
    <w:rsid w:val="0B932795"/>
    <w:rsid w:val="0BBE3A6E"/>
    <w:rsid w:val="0BEA7BA2"/>
    <w:rsid w:val="0BEB7DF6"/>
    <w:rsid w:val="0BF2353B"/>
    <w:rsid w:val="0BFC0C54"/>
    <w:rsid w:val="0C016A01"/>
    <w:rsid w:val="0C0D5F0A"/>
    <w:rsid w:val="0C5A76EB"/>
    <w:rsid w:val="0CBC4C80"/>
    <w:rsid w:val="0CD84F54"/>
    <w:rsid w:val="0D3310B7"/>
    <w:rsid w:val="0D456DB5"/>
    <w:rsid w:val="0D715029"/>
    <w:rsid w:val="0D9A1532"/>
    <w:rsid w:val="0DB81650"/>
    <w:rsid w:val="0DCB2FC8"/>
    <w:rsid w:val="0E296870"/>
    <w:rsid w:val="0E4C799D"/>
    <w:rsid w:val="0E54689B"/>
    <w:rsid w:val="0ECB6184"/>
    <w:rsid w:val="0ED119FB"/>
    <w:rsid w:val="0EE964A9"/>
    <w:rsid w:val="0F19138B"/>
    <w:rsid w:val="0F2C2AEF"/>
    <w:rsid w:val="0F4A3FEC"/>
    <w:rsid w:val="0F641A5E"/>
    <w:rsid w:val="0F9807FE"/>
    <w:rsid w:val="0FCB2FDD"/>
    <w:rsid w:val="101A0D32"/>
    <w:rsid w:val="104B14C7"/>
    <w:rsid w:val="106313FC"/>
    <w:rsid w:val="10635D6E"/>
    <w:rsid w:val="108044B0"/>
    <w:rsid w:val="10DE600B"/>
    <w:rsid w:val="10E35BB1"/>
    <w:rsid w:val="11076B42"/>
    <w:rsid w:val="112B16B9"/>
    <w:rsid w:val="11435B54"/>
    <w:rsid w:val="11506D0A"/>
    <w:rsid w:val="11666DA6"/>
    <w:rsid w:val="11697AA6"/>
    <w:rsid w:val="117006AC"/>
    <w:rsid w:val="117813C0"/>
    <w:rsid w:val="11970384"/>
    <w:rsid w:val="11995B24"/>
    <w:rsid w:val="11C72280"/>
    <w:rsid w:val="11E864B4"/>
    <w:rsid w:val="11EA6972"/>
    <w:rsid w:val="12035E36"/>
    <w:rsid w:val="120B5920"/>
    <w:rsid w:val="121D6F3D"/>
    <w:rsid w:val="1228482E"/>
    <w:rsid w:val="12606607"/>
    <w:rsid w:val="1271356D"/>
    <w:rsid w:val="12733500"/>
    <w:rsid w:val="12A301CE"/>
    <w:rsid w:val="12B10921"/>
    <w:rsid w:val="12BA51EC"/>
    <w:rsid w:val="12C379D8"/>
    <w:rsid w:val="12D61C49"/>
    <w:rsid w:val="12F7463B"/>
    <w:rsid w:val="13290A0C"/>
    <w:rsid w:val="1354247A"/>
    <w:rsid w:val="135B7616"/>
    <w:rsid w:val="1367653F"/>
    <w:rsid w:val="13745823"/>
    <w:rsid w:val="137C0B40"/>
    <w:rsid w:val="13DC6F7B"/>
    <w:rsid w:val="13DD43D7"/>
    <w:rsid w:val="13E27768"/>
    <w:rsid w:val="13E72F79"/>
    <w:rsid w:val="14434F25"/>
    <w:rsid w:val="14581F8A"/>
    <w:rsid w:val="14AF5E39"/>
    <w:rsid w:val="14B95984"/>
    <w:rsid w:val="150037B9"/>
    <w:rsid w:val="15075708"/>
    <w:rsid w:val="15094CB0"/>
    <w:rsid w:val="15105051"/>
    <w:rsid w:val="151F3906"/>
    <w:rsid w:val="153A1A01"/>
    <w:rsid w:val="154B57CB"/>
    <w:rsid w:val="154D7EDE"/>
    <w:rsid w:val="156E11D6"/>
    <w:rsid w:val="15D804F0"/>
    <w:rsid w:val="15F3615E"/>
    <w:rsid w:val="161867E7"/>
    <w:rsid w:val="165C2BF1"/>
    <w:rsid w:val="16B72C06"/>
    <w:rsid w:val="16C64F11"/>
    <w:rsid w:val="17356FCC"/>
    <w:rsid w:val="173F7A5C"/>
    <w:rsid w:val="175D2470"/>
    <w:rsid w:val="175D4C61"/>
    <w:rsid w:val="17624F89"/>
    <w:rsid w:val="178B75FF"/>
    <w:rsid w:val="17BE4031"/>
    <w:rsid w:val="17C768EE"/>
    <w:rsid w:val="181F22BA"/>
    <w:rsid w:val="183B70FF"/>
    <w:rsid w:val="18404D7C"/>
    <w:rsid w:val="18441FD4"/>
    <w:rsid w:val="18530788"/>
    <w:rsid w:val="18EF7261"/>
    <w:rsid w:val="191306F0"/>
    <w:rsid w:val="191802E9"/>
    <w:rsid w:val="19235C20"/>
    <w:rsid w:val="1932422E"/>
    <w:rsid w:val="197D21C0"/>
    <w:rsid w:val="199218E5"/>
    <w:rsid w:val="19931A2F"/>
    <w:rsid w:val="199B611B"/>
    <w:rsid w:val="19DB4D9A"/>
    <w:rsid w:val="1A0B128E"/>
    <w:rsid w:val="1A4A5F7A"/>
    <w:rsid w:val="1A4D5777"/>
    <w:rsid w:val="1B272CCA"/>
    <w:rsid w:val="1BAA1DA8"/>
    <w:rsid w:val="1BAF5A7C"/>
    <w:rsid w:val="1BC7755F"/>
    <w:rsid w:val="1BCA4B87"/>
    <w:rsid w:val="1BD118DD"/>
    <w:rsid w:val="1BDA5A26"/>
    <w:rsid w:val="1BEC33C0"/>
    <w:rsid w:val="1BF20B9D"/>
    <w:rsid w:val="1C1345A0"/>
    <w:rsid w:val="1C1A193B"/>
    <w:rsid w:val="1C3214E2"/>
    <w:rsid w:val="1C6642A9"/>
    <w:rsid w:val="1C687B14"/>
    <w:rsid w:val="1CBB6F1F"/>
    <w:rsid w:val="1CBC483F"/>
    <w:rsid w:val="1CC311D1"/>
    <w:rsid w:val="1CE95CFD"/>
    <w:rsid w:val="1CEC7F07"/>
    <w:rsid w:val="1D02600E"/>
    <w:rsid w:val="1D486045"/>
    <w:rsid w:val="1D59345B"/>
    <w:rsid w:val="1D793E80"/>
    <w:rsid w:val="1D9010D4"/>
    <w:rsid w:val="1DAC1ACD"/>
    <w:rsid w:val="1DDA3669"/>
    <w:rsid w:val="1E1F0DF3"/>
    <w:rsid w:val="1E2B5E6B"/>
    <w:rsid w:val="1E3469A1"/>
    <w:rsid w:val="1E5D4CB7"/>
    <w:rsid w:val="1E9B320E"/>
    <w:rsid w:val="1F5B4D11"/>
    <w:rsid w:val="1F6B0A06"/>
    <w:rsid w:val="1F6B3B86"/>
    <w:rsid w:val="1F77777A"/>
    <w:rsid w:val="1FC76936"/>
    <w:rsid w:val="1FD05732"/>
    <w:rsid w:val="1FD266E8"/>
    <w:rsid w:val="1FE47BC7"/>
    <w:rsid w:val="200F46D5"/>
    <w:rsid w:val="205C4DAE"/>
    <w:rsid w:val="206C5EC1"/>
    <w:rsid w:val="2088062D"/>
    <w:rsid w:val="20AB66F2"/>
    <w:rsid w:val="20AF1008"/>
    <w:rsid w:val="20BD5778"/>
    <w:rsid w:val="20EB5A5B"/>
    <w:rsid w:val="20F863E8"/>
    <w:rsid w:val="21252E2B"/>
    <w:rsid w:val="218B03F3"/>
    <w:rsid w:val="219A3AAA"/>
    <w:rsid w:val="219D632F"/>
    <w:rsid w:val="219E4B6C"/>
    <w:rsid w:val="21CF74B6"/>
    <w:rsid w:val="21D61060"/>
    <w:rsid w:val="21EC41F6"/>
    <w:rsid w:val="22186701"/>
    <w:rsid w:val="221D4E29"/>
    <w:rsid w:val="22B1251B"/>
    <w:rsid w:val="22BC3B7F"/>
    <w:rsid w:val="22E37338"/>
    <w:rsid w:val="230305DF"/>
    <w:rsid w:val="23114B80"/>
    <w:rsid w:val="231E2CBE"/>
    <w:rsid w:val="23461DCF"/>
    <w:rsid w:val="238E4836"/>
    <w:rsid w:val="23955CE5"/>
    <w:rsid w:val="23AE1661"/>
    <w:rsid w:val="23D56DBA"/>
    <w:rsid w:val="24040BE4"/>
    <w:rsid w:val="24047CEF"/>
    <w:rsid w:val="24211C32"/>
    <w:rsid w:val="24862C89"/>
    <w:rsid w:val="2494621E"/>
    <w:rsid w:val="24AA0B69"/>
    <w:rsid w:val="24AF034E"/>
    <w:rsid w:val="24BC6031"/>
    <w:rsid w:val="24C50D3F"/>
    <w:rsid w:val="24CA0BA8"/>
    <w:rsid w:val="25771EA1"/>
    <w:rsid w:val="25895FE4"/>
    <w:rsid w:val="25B83410"/>
    <w:rsid w:val="25BC74F4"/>
    <w:rsid w:val="25EA3195"/>
    <w:rsid w:val="2651311C"/>
    <w:rsid w:val="267D56D4"/>
    <w:rsid w:val="26996C25"/>
    <w:rsid w:val="26A871EC"/>
    <w:rsid w:val="26B95699"/>
    <w:rsid w:val="26C831C7"/>
    <w:rsid w:val="26E01808"/>
    <w:rsid w:val="27002942"/>
    <w:rsid w:val="270940DC"/>
    <w:rsid w:val="272F35D7"/>
    <w:rsid w:val="273A3EDC"/>
    <w:rsid w:val="275C4403"/>
    <w:rsid w:val="27A54BBE"/>
    <w:rsid w:val="27A55B3B"/>
    <w:rsid w:val="27B73B48"/>
    <w:rsid w:val="27BA1525"/>
    <w:rsid w:val="27CE238C"/>
    <w:rsid w:val="27CE3895"/>
    <w:rsid w:val="28234480"/>
    <w:rsid w:val="28602D46"/>
    <w:rsid w:val="28740636"/>
    <w:rsid w:val="28995101"/>
    <w:rsid w:val="289D6735"/>
    <w:rsid w:val="28A30994"/>
    <w:rsid w:val="29343BCA"/>
    <w:rsid w:val="2968234A"/>
    <w:rsid w:val="29701BE7"/>
    <w:rsid w:val="297563DD"/>
    <w:rsid w:val="29DB2547"/>
    <w:rsid w:val="2A0B6FE2"/>
    <w:rsid w:val="2A0F3AE9"/>
    <w:rsid w:val="2A386A50"/>
    <w:rsid w:val="2A3E5F4A"/>
    <w:rsid w:val="2A412025"/>
    <w:rsid w:val="2A4D7FA6"/>
    <w:rsid w:val="2AA01D60"/>
    <w:rsid w:val="2B1D0183"/>
    <w:rsid w:val="2B4B55CD"/>
    <w:rsid w:val="2B4C714F"/>
    <w:rsid w:val="2B5B0520"/>
    <w:rsid w:val="2B705CA0"/>
    <w:rsid w:val="2B960B32"/>
    <w:rsid w:val="2BEC15AF"/>
    <w:rsid w:val="2C10214B"/>
    <w:rsid w:val="2C4C581D"/>
    <w:rsid w:val="2C8454D9"/>
    <w:rsid w:val="2CC911FF"/>
    <w:rsid w:val="2CE54FB3"/>
    <w:rsid w:val="2CFD38FA"/>
    <w:rsid w:val="2D26565A"/>
    <w:rsid w:val="2D9C4B1C"/>
    <w:rsid w:val="2DBF1909"/>
    <w:rsid w:val="2DCB72B4"/>
    <w:rsid w:val="2DE3141C"/>
    <w:rsid w:val="2E89324F"/>
    <w:rsid w:val="2E967131"/>
    <w:rsid w:val="2EAD576B"/>
    <w:rsid w:val="2EB21E1C"/>
    <w:rsid w:val="2F2C72CC"/>
    <w:rsid w:val="2F4E1223"/>
    <w:rsid w:val="2F902E7D"/>
    <w:rsid w:val="2F92068C"/>
    <w:rsid w:val="2FBB7532"/>
    <w:rsid w:val="2FD73B1A"/>
    <w:rsid w:val="2FD85280"/>
    <w:rsid w:val="2FE92292"/>
    <w:rsid w:val="3026401F"/>
    <w:rsid w:val="30631B16"/>
    <w:rsid w:val="30BA10A4"/>
    <w:rsid w:val="30DE2122"/>
    <w:rsid w:val="311257A5"/>
    <w:rsid w:val="315056FB"/>
    <w:rsid w:val="31506AB2"/>
    <w:rsid w:val="316244F3"/>
    <w:rsid w:val="31F00A6B"/>
    <w:rsid w:val="31F6690B"/>
    <w:rsid w:val="31FF6E25"/>
    <w:rsid w:val="3211214F"/>
    <w:rsid w:val="32491752"/>
    <w:rsid w:val="32941ACE"/>
    <w:rsid w:val="32A5428D"/>
    <w:rsid w:val="32AB1497"/>
    <w:rsid w:val="32F13B9D"/>
    <w:rsid w:val="330514E5"/>
    <w:rsid w:val="33264BDF"/>
    <w:rsid w:val="33266DA8"/>
    <w:rsid w:val="334E2667"/>
    <w:rsid w:val="336D400F"/>
    <w:rsid w:val="33CE3633"/>
    <w:rsid w:val="33EB7EC3"/>
    <w:rsid w:val="33EE4D2C"/>
    <w:rsid w:val="34014FDB"/>
    <w:rsid w:val="340623D1"/>
    <w:rsid w:val="3464286C"/>
    <w:rsid w:val="346B7BCD"/>
    <w:rsid w:val="34732BF5"/>
    <w:rsid w:val="34F14AAE"/>
    <w:rsid w:val="34FA5E4E"/>
    <w:rsid w:val="353632CF"/>
    <w:rsid w:val="355A4ACB"/>
    <w:rsid w:val="3574086C"/>
    <w:rsid w:val="358B1AE1"/>
    <w:rsid w:val="358B3768"/>
    <w:rsid w:val="358D6A84"/>
    <w:rsid w:val="35CF6FCA"/>
    <w:rsid w:val="35F35D24"/>
    <w:rsid w:val="35F6213C"/>
    <w:rsid w:val="36045C72"/>
    <w:rsid w:val="36196BC4"/>
    <w:rsid w:val="3619779D"/>
    <w:rsid w:val="363B09DB"/>
    <w:rsid w:val="365363C2"/>
    <w:rsid w:val="36594155"/>
    <w:rsid w:val="3676527C"/>
    <w:rsid w:val="36A60ABF"/>
    <w:rsid w:val="36B64D5D"/>
    <w:rsid w:val="36C16CB0"/>
    <w:rsid w:val="36C734F4"/>
    <w:rsid w:val="372A77F8"/>
    <w:rsid w:val="372F7A36"/>
    <w:rsid w:val="37562E1D"/>
    <w:rsid w:val="37575DAA"/>
    <w:rsid w:val="3769399E"/>
    <w:rsid w:val="376A529D"/>
    <w:rsid w:val="378A34BD"/>
    <w:rsid w:val="37D374D8"/>
    <w:rsid w:val="37DC2A3C"/>
    <w:rsid w:val="380F042A"/>
    <w:rsid w:val="381372DC"/>
    <w:rsid w:val="38167AB7"/>
    <w:rsid w:val="383B7D84"/>
    <w:rsid w:val="384E2A2A"/>
    <w:rsid w:val="38AE3D03"/>
    <w:rsid w:val="38C94BA5"/>
    <w:rsid w:val="38E44072"/>
    <w:rsid w:val="38F017B2"/>
    <w:rsid w:val="392E7509"/>
    <w:rsid w:val="393B02E6"/>
    <w:rsid w:val="393E42C1"/>
    <w:rsid w:val="395E6039"/>
    <w:rsid w:val="395E6FF4"/>
    <w:rsid w:val="396B7B28"/>
    <w:rsid w:val="397F67D4"/>
    <w:rsid w:val="39A20914"/>
    <w:rsid w:val="39A2183A"/>
    <w:rsid w:val="39B25391"/>
    <w:rsid w:val="39B80D4F"/>
    <w:rsid w:val="3A5A4F0A"/>
    <w:rsid w:val="3AB3202A"/>
    <w:rsid w:val="3AC813B4"/>
    <w:rsid w:val="3B1B5D79"/>
    <w:rsid w:val="3B6F3C29"/>
    <w:rsid w:val="3B726375"/>
    <w:rsid w:val="3B75547B"/>
    <w:rsid w:val="3B776FF3"/>
    <w:rsid w:val="3B9F3E28"/>
    <w:rsid w:val="3BF12DA2"/>
    <w:rsid w:val="3BF85C79"/>
    <w:rsid w:val="3C5A1218"/>
    <w:rsid w:val="3C970AFD"/>
    <w:rsid w:val="3C9F1DDC"/>
    <w:rsid w:val="3CA054D5"/>
    <w:rsid w:val="3CBD597F"/>
    <w:rsid w:val="3CE175FD"/>
    <w:rsid w:val="3CF847E4"/>
    <w:rsid w:val="3D65608D"/>
    <w:rsid w:val="3DBB260C"/>
    <w:rsid w:val="3DDC1C77"/>
    <w:rsid w:val="3E340541"/>
    <w:rsid w:val="3E3405B1"/>
    <w:rsid w:val="3E535D2E"/>
    <w:rsid w:val="3E781D09"/>
    <w:rsid w:val="3EA04266"/>
    <w:rsid w:val="3EC03D2F"/>
    <w:rsid w:val="3ED63B3C"/>
    <w:rsid w:val="3F3A49D3"/>
    <w:rsid w:val="3F744C28"/>
    <w:rsid w:val="3F9F2586"/>
    <w:rsid w:val="3FA25E3A"/>
    <w:rsid w:val="3FF83A61"/>
    <w:rsid w:val="40197DB4"/>
    <w:rsid w:val="407608ED"/>
    <w:rsid w:val="40CF109D"/>
    <w:rsid w:val="40DE41ED"/>
    <w:rsid w:val="40FD7A46"/>
    <w:rsid w:val="41033608"/>
    <w:rsid w:val="41092D1B"/>
    <w:rsid w:val="414039A3"/>
    <w:rsid w:val="41761825"/>
    <w:rsid w:val="41DE6BE5"/>
    <w:rsid w:val="41EA14AB"/>
    <w:rsid w:val="420E4668"/>
    <w:rsid w:val="4253375B"/>
    <w:rsid w:val="426E0014"/>
    <w:rsid w:val="42B53886"/>
    <w:rsid w:val="42D2604C"/>
    <w:rsid w:val="42E30905"/>
    <w:rsid w:val="43146263"/>
    <w:rsid w:val="43151750"/>
    <w:rsid w:val="43204A9E"/>
    <w:rsid w:val="43366E35"/>
    <w:rsid w:val="43380762"/>
    <w:rsid w:val="435312A5"/>
    <w:rsid w:val="43922FA5"/>
    <w:rsid w:val="43AE3B8A"/>
    <w:rsid w:val="4401576C"/>
    <w:rsid w:val="440E06D5"/>
    <w:rsid w:val="441B57D3"/>
    <w:rsid w:val="44584F7C"/>
    <w:rsid w:val="4488435F"/>
    <w:rsid w:val="448904F3"/>
    <w:rsid w:val="44BB2C7E"/>
    <w:rsid w:val="44D808AA"/>
    <w:rsid w:val="45097C72"/>
    <w:rsid w:val="452013E3"/>
    <w:rsid w:val="45514F30"/>
    <w:rsid w:val="457F750D"/>
    <w:rsid w:val="45A0605D"/>
    <w:rsid w:val="45A72A55"/>
    <w:rsid w:val="45AF2E13"/>
    <w:rsid w:val="45D026C8"/>
    <w:rsid w:val="46101538"/>
    <w:rsid w:val="46202B73"/>
    <w:rsid w:val="463968A7"/>
    <w:rsid w:val="464522E4"/>
    <w:rsid w:val="46680372"/>
    <w:rsid w:val="466F0734"/>
    <w:rsid w:val="46856C7B"/>
    <w:rsid w:val="46941CC7"/>
    <w:rsid w:val="46A658B7"/>
    <w:rsid w:val="46A83671"/>
    <w:rsid w:val="46B37FC0"/>
    <w:rsid w:val="47357119"/>
    <w:rsid w:val="474F19D1"/>
    <w:rsid w:val="47750454"/>
    <w:rsid w:val="477666A5"/>
    <w:rsid w:val="477A65F9"/>
    <w:rsid w:val="47873CF4"/>
    <w:rsid w:val="47897B1A"/>
    <w:rsid w:val="479A27C4"/>
    <w:rsid w:val="47A93B97"/>
    <w:rsid w:val="47EA4BBE"/>
    <w:rsid w:val="48232D1C"/>
    <w:rsid w:val="482700FF"/>
    <w:rsid w:val="484322D6"/>
    <w:rsid w:val="48490FC3"/>
    <w:rsid w:val="485F1944"/>
    <w:rsid w:val="48BF304A"/>
    <w:rsid w:val="49150E52"/>
    <w:rsid w:val="493D2FE7"/>
    <w:rsid w:val="49645564"/>
    <w:rsid w:val="49661EE0"/>
    <w:rsid w:val="499C4B9A"/>
    <w:rsid w:val="49D25B3A"/>
    <w:rsid w:val="49DF3201"/>
    <w:rsid w:val="4A2B5953"/>
    <w:rsid w:val="4A355134"/>
    <w:rsid w:val="4A7B4129"/>
    <w:rsid w:val="4A886F1B"/>
    <w:rsid w:val="4AC60831"/>
    <w:rsid w:val="4AC977BA"/>
    <w:rsid w:val="4B07466B"/>
    <w:rsid w:val="4B241500"/>
    <w:rsid w:val="4B4611CD"/>
    <w:rsid w:val="4B4A64F7"/>
    <w:rsid w:val="4B583F4F"/>
    <w:rsid w:val="4BAD4861"/>
    <w:rsid w:val="4BD74A43"/>
    <w:rsid w:val="4BE21A63"/>
    <w:rsid w:val="4C096296"/>
    <w:rsid w:val="4C1267BC"/>
    <w:rsid w:val="4C2720A1"/>
    <w:rsid w:val="4C421F7F"/>
    <w:rsid w:val="4C432466"/>
    <w:rsid w:val="4C473067"/>
    <w:rsid w:val="4C983EF5"/>
    <w:rsid w:val="4CA4716B"/>
    <w:rsid w:val="4CBA7317"/>
    <w:rsid w:val="4CC05CE9"/>
    <w:rsid w:val="4CCA4C65"/>
    <w:rsid w:val="4CD4012F"/>
    <w:rsid w:val="4D3954F2"/>
    <w:rsid w:val="4D4A00EC"/>
    <w:rsid w:val="4E0841E7"/>
    <w:rsid w:val="4E1253CD"/>
    <w:rsid w:val="4E272900"/>
    <w:rsid w:val="4E3068DE"/>
    <w:rsid w:val="4E55053B"/>
    <w:rsid w:val="4E741A68"/>
    <w:rsid w:val="4E8C1D38"/>
    <w:rsid w:val="4E96571D"/>
    <w:rsid w:val="4EB90B29"/>
    <w:rsid w:val="4EC16E3E"/>
    <w:rsid w:val="4EE6112D"/>
    <w:rsid w:val="4F0977D1"/>
    <w:rsid w:val="4F0B3C14"/>
    <w:rsid w:val="4F2D7A24"/>
    <w:rsid w:val="4F8D3C54"/>
    <w:rsid w:val="4FA91618"/>
    <w:rsid w:val="4FB14352"/>
    <w:rsid w:val="4FBC79BD"/>
    <w:rsid w:val="506F41D3"/>
    <w:rsid w:val="50960507"/>
    <w:rsid w:val="50CD6186"/>
    <w:rsid w:val="50E84CC8"/>
    <w:rsid w:val="50EF3223"/>
    <w:rsid w:val="515F34D7"/>
    <w:rsid w:val="51D50279"/>
    <w:rsid w:val="520207A6"/>
    <w:rsid w:val="52407BE8"/>
    <w:rsid w:val="527B65BB"/>
    <w:rsid w:val="52C13FB0"/>
    <w:rsid w:val="52DB28DF"/>
    <w:rsid w:val="530046AE"/>
    <w:rsid w:val="53207F4D"/>
    <w:rsid w:val="535A7DEC"/>
    <w:rsid w:val="538811D9"/>
    <w:rsid w:val="539F051C"/>
    <w:rsid w:val="53AD078C"/>
    <w:rsid w:val="53DB0B89"/>
    <w:rsid w:val="542023FB"/>
    <w:rsid w:val="54256C94"/>
    <w:rsid w:val="542F7571"/>
    <w:rsid w:val="545024BA"/>
    <w:rsid w:val="54830610"/>
    <w:rsid w:val="54B4304F"/>
    <w:rsid w:val="54F53E43"/>
    <w:rsid w:val="558D0C77"/>
    <w:rsid w:val="55AC6179"/>
    <w:rsid w:val="56076D7F"/>
    <w:rsid w:val="560F4A02"/>
    <w:rsid w:val="56331955"/>
    <w:rsid w:val="5662790C"/>
    <w:rsid w:val="56A31746"/>
    <w:rsid w:val="56B43A5F"/>
    <w:rsid w:val="56C04DBC"/>
    <w:rsid w:val="56C57ADD"/>
    <w:rsid w:val="56E07426"/>
    <w:rsid w:val="571505A8"/>
    <w:rsid w:val="57160783"/>
    <w:rsid w:val="57216EFC"/>
    <w:rsid w:val="57363F09"/>
    <w:rsid w:val="5741298A"/>
    <w:rsid w:val="574F4B86"/>
    <w:rsid w:val="57621081"/>
    <w:rsid w:val="57864765"/>
    <w:rsid w:val="579E3C85"/>
    <w:rsid w:val="579F7435"/>
    <w:rsid w:val="57D57095"/>
    <w:rsid w:val="58191926"/>
    <w:rsid w:val="58446C63"/>
    <w:rsid w:val="58656B45"/>
    <w:rsid w:val="58757E4B"/>
    <w:rsid w:val="587D112F"/>
    <w:rsid w:val="5898442F"/>
    <w:rsid w:val="58BE27F2"/>
    <w:rsid w:val="590B2F85"/>
    <w:rsid w:val="59375061"/>
    <w:rsid w:val="59685EFA"/>
    <w:rsid w:val="598846BC"/>
    <w:rsid w:val="599B6CB6"/>
    <w:rsid w:val="59AC5EA4"/>
    <w:rsid w:val="59B30C34"/>
    <w:rsid w:val="5A460C83"/>
    <w:rsid w:val="5A786A6E"/>
    <w:rsid w:val="5ABA5ACF"/>
    <w:rsid w:val="5AE139FE"/>
    <w:rsid w:val="5B1D03A8"/>
    <w:rsid w:val="5B1F5687"/>
    <w:rsid w:val="5B240144"/>
    <w:rsid w:val="5BCA2E63"/>
    <w:rsid w:val="5BCD78D5"/>
    <w:rsid w:val="5BF13324"/>
    <w:rsid w:val="5C245062"/>
    <w:rsid w:val="5C7134A7"/>
    <w:rsid w:val="5C810FBE"/>
    <w:rsid w:val="5CB12C86"/>
    <w:rsid w:val="5CC04A6D"/>
    <w:rsid w:val="5D322BD2"/>
    <w:rsid w:val="5D456381"/>
    <w:rsid w:val="5DB344CF"/>
    <w:rsid w:val="5DE13181"/>
    <w:rsid w:val="5E0247CF"/>
    <w:rsid w:val="5E1936E1"/>
    <w:rsid w:val="5E67323E"/>
    <w:rsid w:val="5EF8733A"/>
    <w:rsid w:val="5F470B29"/>
    <w:rsid w:val="5F784B0D"/>
    <w:rsid w:val="5FA622A2"/>
    <w:rsid w:val="5FF5303E"/>
    <w:rsid w:val="60275DDD"/>
    <w:rsid w:val="604C2EFF"/>
    <w:rsid w:val="60FC64DB"/>
    <w:rsid w:val="610F2B4C"/>
    <w:rsid w:val="61605451"/>
    <w:rsid w:val="61640B02"/>
    <w:rsid w:val="61967AF0"/>
    <w:rsid w:val="61BB230B"/>
    <w:rsid w:val="625C6853"/>
    <w:rsid w:val="62712BC5"/>
    <w:rsid w:val="6274723C"/>
    <w:rsid w:val="627E62B0"/>
    <w:rsid w:val="62BB5459"/>
    <w:rsid w:val="62CA5952"/>
    <w:rsid w:val="62D026B6"/>
    <w:rsid w:val="62D25CCB"/>
    <w:rsid w:val="62F22F31"/>
    <w:rsid w:val="630563E8"/>
    <w:rsid w:val="630A05AA"/>
    <w:rsid w:val="63241D14"/>
    <w:rsid w:val="632D4B7D"/>
    <w:rsid w:val="63980E2D"/>
    <w:rsid w:val="639C0EC7"/>
    <w:rsid w:val="63B07D3D"/>
    <w:rsid w:val="63BE3A8E"/>
    <w:rsid w:val="63DE49BC"/>
    <w:rsid w:val="64096D49"/>
    <w:rsid w:val="6428113D"/>
    <w:rsid w:val="6442397F"/>
    <w:rsid w:val="64A076B7"/>
    <w:rsid w:val="64EA63EE"/>
    <w:rsid w:val="65322D36"/>
    <w:rsid w:val="65407391"/>
    <w:rsid w:val="6558300B"/>
    <w:rsid w:val="655F67FF"/>
    <w:rsid w:val="65697827"/>
    <w:rsid w:val="65717AF5"/>
    <w:rsid w:val="65860208"/>
    <w:rsid w:val="658A7076"/>
    <w:rsid w:val="65DD4C3C"/>
    <w:rsid w:val="663D66C0"/>
    <w:rsid w:val="66B62629"/>
    <w:rsid w:val="66E07A3F"/>
    <w:rsid w:val="67084169"/>
    <w:rsid w:val="67200797"/>
    <w:rsid w:val="672C6A06"/>
    <w:rsid w:val="67367695"/>
    <w:rsid w:val="673F322D"/>
    <w:rsid w:val="677C562D"/>
    <w:rsid w:val="67B353EF"/>
    <w:rsid w:val="68136BEB"/>
    <w:rsid w:val="683D5385"/>
    <w:rsid w:val="683E0598"/>
    <w:rsid w:val="68E20E2E"/>
    <w:rsid w:val="68ED36FD"/>
    <w:rsid w:val="68F241CF"/>
    <w:rsid w:val="68F32772"/>
    <w:rsid w:val="690058BD"/>
    <w:rsid w:val="69391D93"/>
    <w:rsid w:val="69571B70"/>
    <w:rsid w:val="69975484"/>
    <w:rsid w:val="6A1035CD"/>
    <w:rsid w:val="6A1532D6"/>
    <w:rsid w:val="6A2B33AC"/>
    <w:rsid w:val="6A543060"/>
    <w:rsid w:val="6A875F25"/>
    <w:rsid w:val="6AAE4F1E"/>
    <w:rsid w:val="6AE36D87"/>
    <w:rsid w:val="6B0A7008"/>
    <w:rsid w:val="6B197CA3"/>
    <w:rsid w:val="6B336054"/>
    <w:rsid w:val="6B4408ED"/>
    <w:rsid w:val="6B785ACD"/>
    <w:rsid w:val="6B7F2505"/>
    <w:rsid w:val="6B914FEA"/>
    <w:rsid w:val="6B9363ED"/>
    <w:rsid w:val="6BA80682"/>
    <w:rsid w:val="6BB87F4B"/>
    <w:rsid w:val="6BF26F8F"/>
    <w:rsid w:val="6BFD1C6E"/>
    <w:rsid w:val="6C015F1E"/>
    <w:rsid w:val="6C263C84"/>
    <w:rsid w:val="6CEE1480"/>
    <w:rsid w:val="6CF91DDF"/>
    <w:rsid w:val="6D365C18"/>
    <w:rsid w:val="6D561584"/>
    <w:rsid w:val="6D740381"/>
    <w:rsid w:val="6DA67581"/>
    <w:rsid w:val="6DCC1EE8"/>
    <w:rsid w:val="6DCC4389"/>
    <w:rsid w:val="6DD42F1E"/>
    <w:rsid w:val="6DD46CCC"/>
    <w:rsid w:val="6DF043B3"/>
    <w:rsid w:val="6E233452"/>
    <w:rsid w:val="6E3054D4"/>
    <w:rsid w:val="6E596ABC"/>
    <w:rsid w:val="6E7225EC"/>
    <w:rsid w:val="6E8244FB"/>
    <w:rsid w:val="6E937D88"/>
    <w:rsid w:val="6EA32AD9"/>
    <w:rsid w:val="6ED77DB2"/>
    <w:rsid w:val="6EE91F45"/>
    <w:rsid w:val="6F44728F"/>
    <w:rsid w:val="6F5C64FA"/>
    <w:rsid w:val="6F980AD5"/>
    <w:rsid w:val="6F9E65CD"/>
    <w:rsid w:val="700C18C8"/>
    <w:rsid w:val="70146D19"/>
    <w:rsid w:val="70230037"/>
    <w:rsid w:val="704D2B4C"/>
    <w:rsid w:val="70765066"/>
    <w:rsid w:val="708617DD"/>
    <w:rsid w:val="70BB02E8"/>
    <w:rsid w:val="71064918"/>
    <w:rsid w:val="71740FAE"/>
    <w:rsid w:val="719456E5"/>
    <w:rsid w:val="71C208BF"/>
    <w:rsid w:val="71C66022"/>
    <w:rsid w:val="71E73D1D"/>
    <w:rsid w:val="721B7771"/>
    <w:rsid w:val="72302BFA"/>
    <w:rsid w:val="72404B2E"/>
    <w:rsid w:val="728E6CFE"/>
    <w:rsid w:val="7292193B"/>
    <w:rsid w:val="72BA4F66"/>
    <w:rsid w:val="733926DA"/>
    <w:rsid w:val="73510931"/>
    <w:rsid w:val="73513B31"/>
    <w:rsid w:val="738839A8"/>
    <w:rsid w:val="739C53BD"/>
    <w:rsid w:val="73BA1B5C"/>
    <w:rsid w:val="744B5D57"/>
    <w:rsid w:val="745E1A68"/>
    <w:rsid w:val="74725B55"/>
    <w:rsid w:val="74B56FAA"/>
    <w:rsid w:val="74BA1966"/>
    <w:rsid w:val="74D41E0D"/>
    <w:rsid w:val="74D61F39"/>
    <w:rsid w:val="753B4602"/>
    <w:rsid w:val="754C738D"/>
    <w:rsid w:val="755035E4"/>
    <w:rsid w:val="75797F29"/>
    <w:rsid w:val="758A7C3F"/>
    <w:rsid w:val="75DD65F1"/>
    <w:rsid w:val="75E0417D"/>
    <w:rsid w:val="75FB6E88"/>
    <w:rsid w:val="76042666"/>
    <w:rsid w:val="767A1A0A"/>
    <w:rsid w:val="76EB62BE"/>
    <w:rsid w:val="77003F41"/>
    <w:rsid w:val="7729407D"/>
    <w:rsid w:val="77530049"/>
    <w:rsid w:val="7791176C"/>
    <w:rsid w:val="78034F98"/>
    <w:rsid w:val="78067BF9"/>
    <w:rsid w:val="7828334C"/>
    <w:rsid w:val="78532638"/>
    <w:rsid w:val="786A5E39"/>
    <w:rsid w:val="786E5C52"/>
    <w:rsid w:val="78BC109A"/>
    <w:rsid w:val="79215036"/>
    <w:rsid w:val="797F5FC2"/>
    <w:rsid w:val="798C01F0"/>
    <w:rsid w:val="79A81C76"/>
    <w:rsid w:val="79C633E6"/>
    <w:rsid w:val="79D238C9"/>
    <w:rsid w:val="7A3B0396"/>
    <w:rsid w:val="7A5314CE"/>
    <w:rsid w:val="7A80066A"/>
    <w:rsid w:val="7AAB5FA2"/>
    <w:rsid w:val="7AFB4091"/>
    <w:rsid w:val="7B2C09F4"/>
    <w:rsid w:val="7B37646B"/>
    <w:rsid w:val="7B6F1278"/>
    <w:rsid w:val="7B8479F5"/>
    <w:rsid w:val="7B87381A"/>
    <w:rsid w:val="7B8E112F"/>
    <w:rsid w:val="7BA0457F"/>
    <w:rsid w:val="7BC40EC8"/>
    <w:rsid w:val="7BC53007"/>
    <w:rsid w:val="7BEE60A2"/>
    <w:rsid w:val="7BFF5AAF"/>
    <w:rsid w:val="7C127A58"/>
    <w:rsid w:val="7C603080"/>
    <w:rsid w:val="7C6C6A5B"/>
    <w:rsid w:val="7CB8113F"/>
    <w:rsid w:val="7CCD7FAA"/>
    <w:rsid w:val="7CEB38B6"/>
    <w:rsid w:val="7D0108D5"/>
    <w:rsid w:val="7D0863B7"/>
    <w:rsid w:val="7D0E7FF5"/>
    <w:rsid w:val="7D153533"/>
    <w:rsid w:val="7D183200"/>
    <w:rsid w:val="7D5128A4"/>
    <w:rsid w:val="7D5F0BD2"/>
    <w:rsid w:val="7D7E655A"/>
    <w:rsid w:val="7D7F7249"/>
    <w:rsid w:val="7D8518B0"/>
    <w:rsid w:val="7DB019A7"/>
    <w:rsid w:val="7DC43677"/>
    <w:rsid w:val="7E1A21F7"/>
    <w:rsid w:val="7E243E61"/>
    <w:rsid w:val="7E29285B"/>
    <w:rsid w:val="7E3C778A"/>
    <w:rsid w:val="7E5C23FE"/>
    <w:rsid w:val="7E73065A"/>
    <w:rsid w:val="7EAA6608"/>
    <w:rsid w:val="7EC17579"/>
    <w:rsid w:val="7EC72575"/>
    <w:rsid w:val="7F115058"/>
    <w:rsid w:val="7F2F34D2"/>
    <w:rsid w:val="7F507259"/>
    <w:rsid w:val="7F9221C2"/>
    <w:rsid w:val="7FE0433A"/>
    <w:rsid w:val="7FE23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1910</Words>
  <Characters>2088</Characters>
  <Lines>0</Lines>
  <Paragraphs>0</Paragraphs>
  <TotalTime>0</TotalTime>
  <ScaleCrop>false</ScaleCrop>
  <LinksUpToDate>false</LinksUpToDate>
  <CharactersWithSpaces>2171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2025-02-25T03:36:00Z</dcterms:created>
  <cp:lastModifiedBy>蒋行</cp:lastModifiedBy>
  <dcterms:modified xsi:type="dcterms:W3CDTF">2026-03-24T08:21:21Z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94239CEFAB94430683A769E3C09751F8_12</vt:lpwstr>
  </property>
  <property fmtid="{D5CDD505-2E9C-101B-9397-08002B2CF9AE}" pid="4" name="KSOTemplateDocerSaveRecord">
    <vt:lpwstr>eyJoZGlkIjoiYTgwMjdhODBmZGM4OTlkZmRlZjY3MWNiZjZiNGNjM2UiLCJ1c2VySWQiOiIxNTM2Mjg1NTY0In0=</vt:lpwstr>
  </property>
</Properties>
</file>